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254" w:rightChars="-121"/>
        <w:rPr>
          <w:rFonts w:ascii="宋体" w:hAnsi="宋体" w:eastAsia="宋体"/>
          <w:bCs/>
          <w:sz w:val="24"/>
        </w:rPr>
      </w:pPr>
      <w:r>
        <w:rPr>
          <w:rFonts w:hint="eastAsia" w:ascii="宋体" w:hAnsi="宋体" w:eastAsia="宋体"/>
          <w:bCs/>
          <w:sz w:val="24"/>
        </w:rPr>
        <w:t>附件1</w:t>
      </w:r>
      <w:r>
        <w:rPr>
          <w:rFonts w:ascii="宋体" w:hAnsi="宋体" w:eastAsia="宋体"/>
          <w:bCs/>
          <w:sz w:val="24"/>
        </w:rPr>
        <w:t>3</w:t>
      </w:r>
      <w:r>
        <w:rPr>
          <w:rFonts w:hint="eastAsia" w:ascii="宋体" w:hAnsi="宋体" w:eastAsia="宋体"/>
          <w:bCs/>
          <w:sz w:val="24"/>
        </w:rPr>
        <w:t>：</w:t>
      </w:r>
    </w:p>
    <w:p>
      <w:pPr>
        <w:ind w:right="-254" w:rightChars="-121"/>
        <w:jc w:val="center"/>
        <w:rPr>
          <w:rFonts w:ascii="宋体" w:hAnsi="宋体" w:eastAsia="宋体"/>
        </w:rPr>
      </w:pPr>
      <w:r>
        <w:rPr>
          <w:rFonts w:ascii="宋体" w:hAnsi="宋体" w:eastAsia="宋体"/>
          <w:b/>
          <w:sz w:val="44"/>
          <w:szCs w:val="44"/>
        </w:rPr>
        <w:t>202</w:t>
      </w:r>
      <w:r>
        <w:rPr>
          <w:rFonts w:hint="eastAsia" w:ascii="宋体" w:hAnsi="宋体" w:eastAsia="宋体"/>
          <w:b/>
          <w:sz w:val="44"/>
          <w:szCs w:val="44"/>
        </w:rPr>
        <w:t>1</w:t>
      </w:r>
      <w:r>
        <w:rPr>
          <w:rFonts w:ascii="宋体" w:hAnsi="宋体" w:eastAsia="宋体"/>
          <w:b/>
          <w:sz w:val="44"/>
          <w:szCs w:val="44"/>
        </w:rPr>
        <w:t>—202</w:t>
      </w:r>
      <w:r>
        <w:rPr>
          <w:rFonts w:hint="eastAsia" w:ascii="宋体" w:hAnsi="宋体" w:eastAsia="宋体"/>
          <w:b/>
          <w:sz w:val="44"/>
          <w:szCs w:val="44"/>
        </w:rPr>
        <w:t>2年度广州科技贸易职业学院学生优秀社团评选考核评分表</w:t>
      </w:r>
    </w:p>
    <w:tbl>
      <w:tblPr>
        <w:tblStyle w:val="6"/>
        <w:tblW w:w="51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
        <w:gridCol w:w="598"/>
        <w:gridCol w:w="5199"/>
        <w:gridCol w:w="1022"/>
        <w:gridCol w:w="10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3830" w:type="pct"/>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bCs/>
                <w:spacing w:val="20"/>
                <w:sz w:val="32"/>
                <w:szCs w:val="32"/>
              </w:rPr>
            </w:pPr>
            <w:r>
              <w:rPr>
                <w:rFonts w:ascii="仿宋_GB2312" w:eastAsia="仿宋_GB2312"/>
                <w:b/>
                <w:bCs/>
                <w:spacing w:val="20"/>
                <w:sz w:val="36"/>
                <w:szCs w:val="36"/>
              </w:rPr>
              <w:t>考   核  项  目  及  分  值 标 准</w:t>
            </w:r>
          </w:p>
        </w:tc>
        <w:tc>
          <w:tcPr>
            <w:tcW w:w="583" w:type="pct"/>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
                <w:bCs/>
                <w:sz w:val="36"/>
                <w:szCs w:val="36"/>
              </w:rPr>
            </w:pPr>
            <w:r>
              <w:rPr>
                <w:rFonts w:hint="eastAsia" w:ascii="仿宋" w:hAnsi="仿宋" w:eastAsia="仿宋" w:cs="仿宋"/>
                <w:b/>
                <w:bCs/>
                <w:sz w:val="36"/>
                <w:szCs w:val="36"/>
              </w:rPr>
              <w:t>自评得分</w:t>
            </w:r>
          </w:p>
        </w:tc>
        <w:tc>
          <w:tcPr>
            <w:tcW w:w="587" w:type="pct"/>
            <w:tcBorders>
              <w:top w:val="single" w:color="auto" w:sz="4" w:space="0"/>
              <w:left w:val="single" w:color="auto" w:sz="4" w:space="0"/>
              <w:bottom w:val="single" w:color="auto" w:sz="4" w:space="0"/>
              <w:right w:val="single" w:color="auto" w:sz="4" w:space="0"/>
            </w:tcBorders>
            <w:vAlign w:val="center"/>
          </w:tcPr>
          <w:p>
            <w:pPr>
              <w:jc w:val="center"/>
            </w:pPr>
            <w:r>
              <w:rPr>
                <w:rFonts w:hint="eastAsia" w:ascii="仿宋" w:hAnsi="仿宋" w:eastAsia="仿宋" w:cs="仿宋"/>
                <w:b/>
                <w:bCs/>
                <w:sz w:val="36"/>
                <w:szCs w:val="36"/>
              </w:rPr>
              <w:t>考评得分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trPr>
        <w:tc>
          <w:tcPr>
            <w:tcW w:w="523" w:type="pct"/>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18"/>
                <w:szCs w:val="18"/>
              </w:rPr>
            </w:pPr>
          </w:p>
          <w:p>
            <w:pPr>
              <w:rPr>
                <w:rFonts w:ascii="宋体" w:hAnsi="宋体"/>
                <w:sz w:val="18"/>
                <w:szCs w:val="18"/>
              </w:rPr>
            </w:pPr>
          </w:p>
          <w:p>
            <w:pPr>
              <w:rPr>
                <w:rFonts w:ascii="宋体" w:hAnsi="宋体"/>
                <w:sz w:val="18"/>
                <w:szCs w:val="18"/>
              </w:rPr>
            </w:pPr>
            <w:r>
              <w:rPr>
                <w:rFonts w:hint="eastAsia" w:ascii="宋体" w:hAnsi="宋体"/>
                <w:sz w:val="18"/>
                <w:szCs w:val="18"/>
              </w:rPr>
              <w:t>学生社团建设管理评定（3</w:t>
            </w:r>
            <w:r>
              <w:rPr>
                <w:rFonts w:ascii="宋体" w:hAnsi="宋体"/>
                <w:sz w:val="18"/>
                <w:szCs w:val="18"/>
              </w:rPr>
              <w:t>5</w:t>
            </w:r>
            <w:r>
              <w:rPr>
                <w:rFonts w:hint="eastAsia" w:ascii="宋体" w:hAnsi="宋体"/>
                <w:sz w:val="18"/>
                <w:szCs w:val="18"/>
              </w:rPr>
              <w:t>）</w:t>
            </w:r>
          </w:p>
          <w:p>
            <w:pPr>
              <w:rPr>
                <w:rFonts w:ascii="宋体" w:hAnsi="宋体"/>
                <w:sz w:val="18"/>
                <w:szCs w:val="18"/>
              </w:rPr>
            </w:pPr>
          </w:p>
          <w:p>
            <w:pPr>
              <w:rPr>
                <w:rFonts w:ascii="宋体" w:hAnsi="宋体"/>
                <w:sz w:val="18"/>
                <w:szCs w:val="18"/>
              </w:rPr>
            </w:pPr>
          </w:p>
          <w:p>
            <w:pPr>
              <w:rPr>
                <w:rFonts w:ascii="宋体" w:hAnsi="宋体"/>
                <w:sz w:val="18"/>
                <w:szCs w:val="18"/>
              </w:rPr>
            </w:pPr>
          </w:p>
        </w:tc>
        <w:tc>
          <w:tcPr>
            <w:tcW w:w="341" w:type="pct"/>
            <w:vMerge w:val="restart"/>
            <w:tcBorders>
              <w:top w:val="single" w:color="auto" w:sz="4" w:space="0"/>
              <w:left w:val="single" w:color="auto" w:sz="4" w:space="0"/>
              <w:bottom w:val="single" w:color="auto" w:sz="4" w:space="0"/>
              <w:right w:val="single" w:color="auto" w:sz="4" w:space="0"/>
            </w:tcBorders>
            <w:vAlign w:val="center"/>
          </w:tcPr>
          <w:p>
            <w:pPr>
              <w:ind w:left="-17" w:leftChars="-8"/>
              <w:jc w:val="left"/>
              <w:rPr>
                <w:rFonts w:ascii="宋体" w:hAnsi="宋体"/>
                <w:sz w:val="18"/>
                <w:szCs w:val="18"/>
              </w:rPr>
            </w:pPr>
            <w:r>
              <w:rPr>
                <w:rFonts w:hint="eastAsia" w:ascii="宋体" w:hAnsi="宋体"/>
                <w:sz w:val="18"/>
                <w:szCs w:val="18"/>
              </w:rPr>
              <w:t>注册情况（</w:t>
            </w:r>
            <w:r>
              <w:rPr>
                <w:rFonts w:ascii="宋体" w:hAnsi="宋体"/>
                <w:sz w:val="18"/>
                <w:szCs w:val="18"/>
              </w:rPr>
              <w:t>10</w:t>
            </w:r>
            <w:r>
              <w:rPr>
                <w:rFonts w:hint="eastAsia" w:ascii="宋体" w:hAnsi="宋体"/>
                <w:sz w:val="18"/>
                <w:szCs w:val="18"/>
              </w:rPr>
              <w:t>分）</w:t>
            </w:r>
          </w:p>
        </w:tc>
        <w:tc>
          <w:tcPr>
            <w:tcW w:w="2966" w:type="pct"/>
            <w:tcBorders>
              <w:top w:val="single" w:color="auto" w:sz="4" w:space="0"/>
              <w:left w:val="single" w:color="auto" w:sz="4" w:space="0"/>
              <w:bottom w:val="single" w:color="auto" w:sz="4" w:space="0"/>
              <w:right w:val="single" w:color="auto" w:sz="4" w:space="0"/>
            </w:tcBorders>
            <w:vAlign w:val="center"/>
          </w:tcPr>
          <w:p>
            <w:pPr>
              <w:tabs>
                <w:tab w:val="left" w:pos="3111"/>
              </w:tabs>
              <w:ind w:left="-17" w:leftChars="-8"/>
              <w:rPr>
                <w:rFonts w:ascii="宋体" w:hAnsi="宋体"/>
                <w:sz w:val="18"/>
                <w:szCs w:val="18"/>
              </w:rPr>
            </w:pPr>
            <w:r>
              <w:rPr>
                <w:rFonts w:hint="eastAsia" w:ascii="宋体" w:hAnsi="宋体"/>
                <w:sz w:val="18"/>
                <w:szCs w:val="18"/>
              </w:rPr>
              <w:t>根据社团管理办法进行注册登记，年审资料，注册资料齐全（</w:t>
            </w:r>
            <w:r>
              <w:rPr>
                <w:rFonts w:ascii="宋体" w:hAnsi="宋体"/>
                <w:sz w:val="18"/>
                <w:szCs w:val="18"/>
              </w:rPr>
              <w:t>10</w:t>
            </w:r>
            <w:r>
              <w:rPr>
                <w:rFonts w:hint="eastAsia" w:ascii="宋体" w:hAnsi="宋体"/>
                <w:sz w:val="18"/>
                <w:szCs w:val="18"/>
              </w:rPr>
              <w:t>分）</w:t>
            </w:r>
          </w:p>
        </w:tc>
        <w:tc>
          <w:tcPr>
            <w:tcW w:w="583" w:type="pct"/>
            <w:vMerge w:val="restart"/>
            <w:tcBorders>
              <w:top w:val="single" w:color="auto" w:sz="4" w:space="0"/>
              <w:left w:val="single" w:color="auto" w:sz="4" w:space="0"/>
              <w:bottom w:val="single" w:color="auto" w:sz="4" w:space="0"/>
              <w:right w:val="single" w:color="auto" w:sz="4" w:space="0"/>
            </w:tcBorders>
            <w:vAlign w:val="center"/>
          </w:tcPr>
          <w:p/>
        </w:tc>
        <w:tc>
          <w:tcPr>
            <w:tcW w:w="587" w:type="pct"/>
            <w:vMerge w:val="restart"/>
            <w:tcBorders>
              <w:top w:val="single" w:color="auto" w:sz="4" w:space="0"/>
              <w:left w:val="single" w:color="auto" w:sz="4" w:space="0"/>
              <w:bottom w:val="single" w:color="auto" w:sz="4" w:space="0"/>
              <w:right w:val="single" w:color="auto" w:sz="4" w:space="0"/>
            </w:tcBorders>
            <w:vAlign w:val="center"/>
          </w:tcPr>
          <w:p>
            <w:pPr>
              <w:widowControl/>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52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34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2966" w:type="pct"/>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根据社团管理办法进行注册登记，年审资料，注册资料不齐全（2分）</w:t>
            </w:r>
          </w:p>
        </w:tc>
        <w:tc>
          <w:tcPr>
            <w:tcW w:w="58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trPr>
        <w:tc>
          <w:tcPr>
            <w:tcW w:w="52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34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2966" w:type="pct"/>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未进行注册以及报备取消评选年度优秀社团（0分）</w:t>
            </w:r>
          </w:p>
        </w:tc>
        <w:tc>
          <w:tcPr>
            <w:tcW w:w="58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3" w:hRule="atLeast"/>
        </w:trPr>
        <w:tc>
          <w:tcPr>
            <w:tcW w:w="52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341" w:type="pct"/>
            <w:vMerge w:val="restart"/>
            <w:tcBorders>
              <w:top w:val="single" w:color="auto" w:sz="4" w:space="0"/>
              <w:left w:val="single" w:color="auto" w:sz="4" w:space="0"/>
              <w:bottom w:val="single" w:color="auto" w:sz="4" w:space="0"/>
              <w:right w:val="single" w:color="auto" w:sz="4" w:space="0"/>
            </w:tcBorders>
            <w:vAlign w:val="center"/>
          </w:tcPr>
          <w:p>
            <w:pPr>
              <w:pStyle w:val="2"/>
              <w:shd w:val="clear" w:color="auto" w:fill="FFFFFF"/>
              <w:spacing w:before="0" w:after="0" w:line="384" w:lineRule="atLeast"/>
              <w:jc w:val="left"/>
              <w:rPr>
                <w:rFonts w:ascii="宋体" w:hAnsi="宋体"/>
                <w:sz w:val="18"/>
                <w:szCs w:val="18"/>
              </w:rPr>
            </w:pPr>
            <w:r>
              <w:rPr>
                <w:rFonts w:hint="eastAsia" w:ascii="宋体" w:hAnsi="宋体"/>
                <w:b w:val="0"/>
                <w:bCs w:val="0"/>
                <w:sz w:val="18"/>
                <w:szCs w:val="18"/>
              </w:rPr>
              <w:t>组织结构（10分）</w:t>
            </w:r>
          </w:p>
        </w:tc>
        <w:tc>
          <w:tcPr>
            <w:tcW w:w="2966" w:type="pct"/>
            <w:tcBorders>
              <w:top w:val="single" w:color="auto" w:sz="4" w:space="0"/>
              <w:left w:val="single" w:color="auto" w:sz="4" w:space="0"/>
              <w:bottom w:val="single" w:color="auto" w:sz="4" w:space="0"/>
              <w:right w:val="single" w:color="auto" w:sz="4" w:space="0"/>
            </w:tcBorders>
            <w:vAlign w:val="center"/>
          </w:tcPr>
          <w:p>
            <w:pPr>
              <w:pStyle w:val="2"/>
              <w:shd w:val="clear" w:color="auto" w:fill="FFFFFF"/>
              <w:spacing w:before="0" w:after="0" w:line="384" w:lineRule="atLeast"/>
              <w:rPr>
                <w:rFonts w:ascii="宋体" w:hAnsi="宋体" w:eastAsiaTheme="minorEastAsia" w:cstheme="minorBidi"/>
                <w:b w:val="0"/>
                <w:bCs w:val="0"/>
                <w:kern w:val="2"/>
                <w:sz w:val="18"/>
                <w:szCs w:val="18"/>
              </w:rPr>
            </w:pPr>
            <w:r>
              <w:rPr>
                <w:rFonts w:hint="eastAsia" w:ascii="宋体" w:hAnsi="宋体" w:eastAsiaTheme="minorEastAsia" w:cstheme="minorBidi"/>
                <w:b w:val="0"/>
                <w:bCs w:val="0"/>
                <w:kern w:val="2"/>
                <w:sz w:val="18"/>
                <w:szCs w:val="18"/>
              </w:rPr>
              <w:t>社团规章制度、章程管理完善，能明确按照章程管理制度执行，工作管理明确。（8-10分）</w:t>
            </w:r>
          </w:p>
        </w:tc>
        <w:tc>
          <w:tcPr>
            <w:tcW w:w="583" w:type="pct"/>
            <w:vMerge w:val="restart"/>
            <w:tcBorders>
              <w:top w:val="single" w:color="auto" w:sz="4" w:space="0"/>
              <w:left w:val="single" w:color="auto" w:sz="4" w:space="0"/>
              <w:bottom w:val="single" w:color="auto" w:sz="4" w:space="0"/>
              <w:right w:val="single" w:color="auto" w:sz="4" w:space="0"/>
            </w:tcBorders>
            <w:vAlign w:val="center"/>
          </w:tcPr>
          <w:p>
            <w:pPr>
              <w:jc w:val="center"/>
            </w:pPr>
          </w:p>
        </w:tc>
        <w:tc>
          <w:tcPr>
            <w:tcW w:w="587" w:type="pct"/>
            <w:vMerge w:val="restart"/>
            <w:tcBorders>
              <w:top w:val="single" w:color="auto" w:sz="4" w:space="0"/>
              <w:left w:val="single" w:color="auto" w:sz="4" w:space="0"/>
              <w:bottom w:val="single" w:color="auto" w:sz="4" w:space="0"/>
              <w:right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52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34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b/>
                <w:bCs/>
                <w:kern w:val="44"/>
                <w:sz w:val="18"/>
                <w:szCs w:val="18"/>
              </w:rPr>
            </w:pPr>
          </w:p>
        </w:tc>
        <w:tc>
          <w:tcPr>
            <w:tcW w:w="2966" w:type="pct"/>
            <w:tcBorders>
              <w:top w:val="single" w:color="auto" w:sz="4" w:space="0"/>
              <w:left w:val="single" w:color="auto" w:sz="4" w:space="0"/>
              <w:bottom w:val="single" w:color="auto" w:sz="4" w:space="0"/>
              <w:right w:val="single" w:color="auto" w:sz="4" w:space="0"/>
            </w:tcBorders>
            <w:vAlign w:val="center"/>
          </w:tcPr>
          <w:p>
            <w:pPr>
              <w:pStyle w:val="2"/>
              <w:shd w:val="clear" w:color="auto" w:fill="FFFFFF"/>
              <w:spacing w:before="0" w:after="0" w:line="384" w:lineRule="atLeast"/>
              <w:rPr>
                <w:rFonts w:ascii="宋体" w:hAnsi="宋体" w:eastAsiaTheme="minorEastAsia" w:cstheme="minorBidi"/>
                <w:b w:val="0"/>
                <w:bCs w:val="0"/>
                <w:kern w:val="2"/>
                <w:sz w:val="18"/>
                <w:szCs w:val="18"/>
              </w:rPr>
            </w:pPr>
            <w:r>
              <w:rPr>
                <w:rFonts w:hint="eastAsia" w:ascii="宋体" w:hAnsi="宋体" w:eastAsiaTheme="minorEastAsia" w:cstheme="minorBidi"/>
                <w:b w:val="0"/>
                <w:bCs w:val="0"/>
                <w:kern w:val="2"/>
                <w:sz w:val="18"/>
                <w:szCs w:val="18"/>
              </w:rPr>
              <w:t>有社团规章制度、章程管理但制度不完善，不能明确按照章程管理制度执行，工作管理明确。（5-7分）</w:t>
            </w:r>
          </w:p>
        </w:tc>
        <w:tc>
          <w:tcPr>
            <w:tcW w:w="58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6" w:hRule="atLeast"/>
        </w:trPr>
        <w:tc>
          <w:tcPr>
            <w:tcW w:w="52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34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b/>
                <w:bCs/>
                <w:kern w:val="44"/>
                <w:sz w:val="18"/>
                <w:szCs w:val="18"/>
              </w:rPr>
            </w:pPr>
          </w:p>
        </w:tc>
        <w:tc>
          <w:tcPr>
            <w:tcW w:w="2966" w:type="pct"/>
            <w:tcBorders>
              <w:top w:val="single" w:color="auto" w:sz="4" w:space="0"/>
              <w:left w:val="single" w:color="auto" w:sz="4" w:space="0"/>
              <w:bottom w:val="single" w:color="auto" w:sz="4" w:space="0"/>
              <w:right w:val="single" w:color="auto" w:sz="4" w:space="0"/>
            </w:tcBorders>
            <w:vAlign w:val="center"/>
          </w:tcPr>
          <w:p>
            <w:pPr>
              <w:pStyle w:val="2"/>
              <w:shd w:val="clear" w:color="auto" w:fill="FFFFFF"/>
              <w:spacing w:before="0" w:after="0" w:line="384" w:lineRule="atLeast"/>
              <w:rPr>
                <w:rFonts w:ascii="宋体" w:hAnsi="宋体" w:eastAsiaTheme="minorEastAsia" w:cstheme="minorBidi"/>
                <w:b w:val="0"/>
                <w:bCs w:val="0"/>
                <w:kern w:val="2"/>
                <w:sz w:val="18"/>
                <w:szCs w:val="18"/>
              </w:rPr>
            </w:pPr>
            <w:r>
              <w:rPr>
                <w:rFonts w:hint="eastAsia" w:ascii="宋体" w:hAnsi="宋体" w:eastAsiaTheme="minorEastAsia" w:cstheme="minorBidi"/>
                <w:b w:val="0"/>
                <w:bCs w:val="0"/>
                <w:kern w:val="2"/>
                <w:sz w:val="18"/>
                <w:szCs w:val="18"/>
              </w:rPr>
              <w:t>社团规章制度、章程管理但制度模糊或缺少，负责人疏于制定和管理。（4分）</w:t>
            </w:r>
          </w:p>
        </w:tc>
        <w:tc>
          <w:tcPr>
            <w:tcW w:w="58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trPr>
        <w:tc>
          <w:tcPr>
            <w:tcW w:w="52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341" w:type="pct"/>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社团管理部工作配合情况（15分）</w:t>
            </w:r>
          </w:p>
        </w:tc>
        <w:tc>
          <w:tcPr>
            <w:tcW w:w="2966" w:type="pct"/>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召开内部工作例会，五次及以上（5分），召开两次及以上（3分），召开一次（2分），未召开一次（0分）</w:t>
            </w:r>
          </w:p>
        </w:tc>
        <w:tc>
          <w:tcPr>
            <w:tcW w:w="583" w:type="pct"/>
            <w:vMerge w:val="restart"/>
            <w:tcBorders>
              <w:top w:val="single" w:color="auto" w:sz="4" w:space="0"/>
              <w:left w:val="single" w:color="auto" w:sz="4" w:space="0"/>
              <w:bottom w:val="single" w:color="auto" w:sz="4" w:space="0"/>
              <w:right w:val="single" w:color="auto" w:sz="4" w:space="0"/>
            </w:tcBorders>
            <w:vAlign w:val="center"/>
          </w:tcPr>
          <w:p>
            <w:pPr>
              <w:jc w:val="center"/>
            </w:pPr>
          </w:p>
        </w:tc>
        <w:tc>
          <w:tcPr>
            <w:tcW w:w="587" w:type="pct"/>
            <w:vMerge w:val="restart"/>
            <w:tcBorders>
              <w:top w:val="single" w:color="auto" w:sz="4" w:space="0"/>
              <w:left w:val="single" w:color="auto" w:sz="4" w:space="0"/>
              <w:bottom w:val="single" w:color="auto" w:sz="4" w:space="0"/>
              <w:right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4" w:hRule="atLeast"/>
        </w:trPr>
        <w:tc>
          <w:tcPr>
            <w:tcW w:w="52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341"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p>
        </w:tc>
        <w:tc>
          <w:tcPr>
            <w:tcW w:w="2966" w:type="pct"/>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无故缺席社团管理部工作例会一次（扣5分）缺席两次（扣8分）缺席三次及以上（取消优秀社团评比）</w:t>
            </w:r>
          </w:p>
        </w:tc>
        <w:tc>
          <w:tcPr>
            <w:tcW w:w="58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trPr>
        <w:tc>
          <w:tcPr>
            <w:tcW w:w="52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341"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p>
        </w:tc>
        <w:tc>
          <w:tcPr>
            <w:tcW w:w="2966" w:type="pct"/>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社团管理部下达工作指令积极配合并提前完成（5分）配合态度懒散并拖拉完成（3分）配合工作态度懒散并须多次提醒完成（0分）</w:t>
            </w:r>
          </w:p>
        </w:tc>
        <w:tc>
          <w:tcPr>
            <w:tcW w:w="58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4" w:hRule="atLeast"/>
        </w:trPr>
        <w:tc>
          <w:tcPr>
            <w:tcW w:w="52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341"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p>
        </w:tc>
        <w:tc>
          <w:tcPr>
            <w:tcW w:w="2966" w:type="pct"/>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私下或外出举办活动并无上报社团联合会一律取消评选年度优秀社团</w:t>
            </w:r>
          </w:p>
        </w:tc>
        <w:tc>
          <w:tcPr>
            <w:tcW w:w="58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23" w:type="pct"/>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p>
          <w:p>
            <w:pPr>
              <w:jc w:val="center"/>
              <w:rPr>
                <w:rFonts w:ascii="宋体" w:hAnsi="宋体"/>
                <w:sz w:val="18"/>
                <w:szCs w:val="18"/>
              </w:rPr>
            </w:pPr>
          </w:p>
          <w:p>
            <w:pPr>
              <w:jc w:val="center"/>
              <w:rPr>
                <w:rFonts w:ascii="宋体" w:hAnsi="宋体"/>
                <w:sz w:val="18"/>
                <w:szCs w:val="18"/>
              </w:rPr>
            </w:pPr>
          </w:p>
          <w:p>
            <w:pPr>
              <w:jc w:val="center"/>
              <w:rPr>
                <w:rFonts w:ascii="宋体" w:hAnsi="宋体"/>
                <w:sz w:val="18"/>
                <w:szCs w:val="18"/>
              </w:rPr>
            </w:pPr>
          </w:p>
          <w:p>
            <w:pPr>
              <w:jc w:val="center"/>
              <w:rPr>
                <w:rFonts w:ascii="宋体" w:hAnsi="宋体"/>
                <w:sz w:val="18"/>
                <w:szCs w:val="18"/>
              </w:rPr>
            </w:pPr>
          </w:p>
          <w:p>
            <w:pPr>
              <w:jc w:val="center"/>
              <w:rPr>
                <w:rFonts w:ascii="宋体" w:hAnsi="宋体"/>
                <w:sz w:val="18"/>
                <w:szCs w:val="18"/>
              </w:rPr>
            </w:pPr>
          </w:p>
          <w:p>
            <w:pPr>
              <w:jc w:val="center"/>
              <w:rPr>
                <w:rFonts w:ascii="宋体" w:hAnsi="宋体"/>
                <w:sz w:val="18"/>
                <w:szCs w:val="18"/>
              </w:rPr>
            </w:pPr>
          </w:p>
          <w:p>
            <w:pPr>
              <w:jc w:val="center"/>
              <w:rPr>
                <w:rFonts w:ascii="宋体" w:hAnsi="宋体"/>
                <w:sz w:val="18"/>
                <w:szCs w:val="18"/>
              </w:rPr>
            </w:pPr>
          </w:p>
          <w:p>
            <w:pPr>
              <w:jc w:val="center"/>
              <w:rPr>
                <w:rFonts w:ascii="宋体" w:hAnsi="宋体"/>
                <w:sz w:val="18"/>
                <w:szCs w:val="18"/>
              </w:rPr>
            </w:pPr>
          </w:p>
          <w:p>
            <w:pPr>
              <w:jc w:val="center"/>
              <w:rPr>
                <w:rFonts w:ascii="宋体" w:hAnsi="宋体"/>
                <w:sz w:val="18"/>
                <w:szCs w:val="18"/>
              </w:rPr>
            </w:pPr>
            <w:r>
              <w:rPr>
                <w:rFonts w:hint="eastAsia" w:ascii="宋体" w:hAnsi="宋体"/>
                <w:sz w:val="18"/>
                <w:szCs w:val="18"/>
              </w:rPr>
              <w:t>学生社团活动评定（30分）</w:t>
            </w:r>
          </w:p>
          <w:p>
            <w:pPr>
              <w:spacing w:before="100" w:beforeAutospacing="1" w:after="100" w:afterAutospacing="1"/>
              <w:rPr>
                <w:rFonts w:ascii="宋体" w:hAnsi="宋体"/>
                <w:sz w:val="18"/>
                <w:szCs w:val="18"/>
              </w:rPr>
            </w:pPr>
          </w:p>
        </w:tc>
        <w:tc>
          <w:tcPr>
            <w:tcW w:w="341" w:type="pct"/>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活动次数（10分）</w:t>
            </w:r>
          </w:p>
        </w:tc>
        <w:tc>
          <w:tcPr>
            <w:tcW w:w="2966" w:type="pct"/>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活动0次（0分）</w:t>
            </w:r>
          </w:p>
        </w:tc>
        <w:tc>
          <w:tcPr>
            <w:tcW w:w="583" w:type="pct"/>
            <w:vMerge w:val="restart"/>
            <w:tcBorders>
              <w:top w:val="single" w:color="auto" w:sz="4" w:space="0"/>
              <w:left w:val="single" w:color="auto" w:sz="4" w:space="0"/>
              <w:bottom w:val="single" w:color="auto" w:sz="4" w:space="0"/>
              <w:right w:val="single" w:color="auto" w:sz="4" w:space="0"/>
            </w:tcBorders>
            <w:vAlign w:val="center"/>
          </w:tcPr>
          <w:p>
            <w:pPr>
              <w:jc w:val="center"/>
            </w:pPr>
          </w:p>
        </w:tc>
        <w:tc>
          <w:tcPr>
            <w:tcW w:w="587" w:type="pct"/>
            <w:vMerge w:val="restart"/>
            <w:tcBorders>
              <w:top w:val="single" w:color="auto" w:sz="4" w:space="0"/>
              <w:left w:val="single" w:color="auto" w:sz="4" w:space="0"/>
              <w:bottom w:val="single" w:color="auto" w:sz="4" w:space="0"/>
              <w:right w:val="single" w:color="auto" w:sz="4" w:space="0"/>
            </w:tcBorders>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6" w:hRule="atLeast"/>
        </w:trPr>
        <w:tc>
          <w:tcPr>
            <w:tcW w:w="52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34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2966" w:type="pct"/>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活动1-2次（2分）</w:t>
            </w:r>
          </w:p>
        </w:tc>
        <w:tc>
          <w:tcPr>
            <w:tcW w:w="58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52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34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2966" w:type="pct"/>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活动3-4次（5分）</w:t>
            </w:r>
          </w:p>
        </w:tc>
        <w:tc>
          <w:tcPr>
            <w:tcW w:w="58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52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34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2966" w:type="pct"/>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活动5-6次（8分）</w:t>
            </w:r>
          </w:p>
        </w:tc>
        <w:tc>
          <w:tcPr>
            <w:tcW w:w="58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52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34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2966" w:type="pct"/>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活动6次及以上（10分）</w:t>
            </w:r>
          </w:p>
        </w:tc>
        <w:tc>
          <w:tcPr>
            <w:tcW w:w="58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52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341" w:type="pct"/>
            <w:vMerge w:val="restart"/>
            <w:tcBorders>
              <w:top w:val="single" w:color="auto" w:sz="4" w:space="0"/>
              <w:left w:val="single" w:color="auto" w:sz="4" w:space="0"/>
              <w:bottom w:val="single" w:color="auto" w:sz="4" w:space="0"/>
              <w:right w:val="single" w:color="auto" w:sz="4" w:space="0"/>
            </w:tcBorders>
            <w:vAlign w:val="center"/>
          </w:tcPr>
          <w:p>
            <w:pPr>
              <w:spacing w:after="100" w:afterAutospacing="1"/>
              <w:jc w:val="left"/>
              <w:rPr>
                <w:rFonts w:ascii="宋体" w:hAnsi="宋体"/>
                <w:sz w:val="18"/>
                <w:szCs w:val="18"/>
              </w:rPr>
            </w:pPr>
            <w:r>
              <w:rPr>
                <w:rFonts w:hint="eastAsia" w:ascii="宋体" w:hAnsi="宋体"/>
                <w:sz w:val="18"/>
                <w:szCs w:val="18"/>
              </w:rPr>
              <w:t>活动材料（10分）</w:t>
            </w:r>
          </w:p>
        </w:tc>
        <w:tc>
          <w:tcPr>
            <w:tcW w:w="2966" w:type="pct"/>
            <w:tcBorders>
              <w:top w:val="single" w:color="auto" w:sz="4" w:space="0"/>
              <w:left w:val="single" w:color="auto" w:sz="4" w:space="0"/>
              <w:bottom w:val="single" w:color="auto" w:sz="4" w:space="0"/>
              <w:right w:val="single" w:color="auto" w:sz="4" w:space="0"/>
            </w:tcBorders>
            <w:vAlign w:val="center"/>
          </w:tcPr>
          <w:p>
            <w:pPr>
              <w:spacing w:after="100" w:afterAutospacing="1"/>
              <w:jc w:val="left"/>
              <w:rPr>
                <w:rFonts w:ascii="宋体" w:hAnsi="宋体"/>
                <w:sz w:val="18"/>
                <w:szCs w:val="18"/>
              </w:rPr>
            </w:pPr>
            <w:r>
              <w:rPr>
                <w:rFonts w:hint="eastAsia" w:ascii="宋体" w:hAnsi="宋体"/>
                <w:sz w:val="18"/>
                <w:szCs w:val="18"/>
              </w:rPr>
              <w:t>提前3-5个工作日上交，活动策划案详细完整，活动所需资料齐全（10分）</w:t>
            </w:r>
          </w:p>
        </w:tc>
        <w:tc>
          <w:tcPr>
            <w:tcW w:w="583" w:type="pct"/>
            <w:vMerge w:val="restart"/>
            <w:tcBorders>
              <w:top w:val="single" w:color="auto" w:sz="4" w:space="0"/>
              <w:left w:val="single" w:color="auto" w:sz="4" w:space="0"/>
              <w:bottom w:val="single" w:color="auto" w:sz="4" w:space="0"/>
              <w:right w:val="single" w:color="auto" w:sz="4" w:space="0"/>
            </w:tcBorders>
            <w:vAlign w:val="center"/>
          </w:tcPr>
          <w:p>
            <w:pPr>
              <w:jc w:val="center"/>
            </w:pPr>
          </w:p>
        </w:tc>
        <w:tc>
          <w:tcPr>
            <w:tcW w:w="587" w:type="pct"/>
            <w:vMerge w:val="restart"/>
            <w:tcBorders>
              <w:top w:val="single" w:color="auto" w:sz="4" w:space="0"/>
              <w:left w:val="single" w:color="auto" w:sz="4" w:space="0"/>
              <w:bottom w:val="single" w:color="auto" w:sz="4" w:space="0"/>
              <w:right w:val="single" w:color="auto" w:sz="4" w:space="0"/>
            </w:tcBorders>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52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34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2966" w:type="pct"/>
            <w:tcBorders>
              <w:top w:val="single" w:color="auto" w:sz="4" w:space="0"/>
              <w:left w:val="single" w:color="auto" w:sz="4" w:space="0"/>
              <w:bottom w:val="single" w:color="auto" w:sz="4" w:space="0"/>
              <w:right w:val="single" w:color="auto" w:sz="4" w:space="0"/>
            </w:tcBorders>
            <w:vAlign w:val="center"/>
          </w:tcPr>
          <w:p>
            <w:pPr>
              <w:spacing w:after="100" w:afterAutospacing="1"/>
              <w:jc w:val="left"/>
              <w:rPr>
                <w:rFonts w:ascii="宋体" w:hAnsi="宋体"/>
                <w:sz w:val="18"/>
                <w:szCs w:val="18"/>
              </w:rPr>
            </w:pPr>
            <w:r>
              <w:rPr>
                <w:rFonts w:hint="eastAsia" w:ascii="宋体" w:hAnsi="宋体"/>
                <w:sz w:val="18"/>
                <w:szCs w:val="18"/>
              </w:rPr>
              <w:t>提前3-5个工作日上交，但活动策划案简单，活动所需资料不齐全或缺少（5-8分）</w:t>
            </w:r>
          </w:p>
        </w:tc>
        <w:tc>
          <w:tcPr>
            <w:tcW w:w="58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34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2966" w:type="pct"/>
            <w:tcBorders>
              <w:top w:val="single" w:color="auto" w:sz="4" w:space="0"/>
              <w:left w:val="single" w:color="auto" w:sz="4" w:space="0"/>
              <w:bottom w:val="single" w:color="auto" w:sz="4" w:space="0"/>
              <w:right w:val="single" w:color="auto" w:sz="4" w:space="0"/>
            </w:tcBorders>
            <w:vAlign w:val="center"/>
          </w:tcPr>
          <w:p>
            <w:pPr>
              <w:spacing w:after="100" w:afterAutospacing="1"/>
              <w:jc w:val="left"/>
              <w:rPr>
                <w:rFonts w:ascii="宋体" w:hAnsi="宋体"/>
                <w:sz w:val="18"/>
                <w:szCs w:val="18"/>
              </w:rPr>
            </w:pPr>
            <w:r>
              <w:rPr>
                <w:rFonts w:hint="eastAsia" w:ascii="宋体" w:hAnsi="宋体"/>
                <w:sz w:val="18"/>
                <w:szCs w:val="18"/>
              </w:rPr>
              <w:t>未能提前3-5个工作日上交，并活动策划案不完整、格式不合格，活动所需资料不齐全或缺少（0-3分）</w:t>
            </w:r>
          </w:p>
        </w:tc>
        <w:tc>
          <w:tcPr>
            <w:tcW w:w="58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52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341" w:type="pct"/>
            <w:vMerge w:val="restar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500" w:lineRule="exact"/>
              <w:rPr>
                <w:rFonts w:ascii="宋体" w:hAnsi="宋体"/>
                <w:sz w:val="18"/>
                <w:szCs w:val="18"/>
              </w:rPr>
            </w:pPr>
            <w:r>
              <w:rPr>
                <w:rFonts w:hint="eastAsia" w:ascii="宋体" w:hAnsi="宋体"/>
                <w:sz w:val="18"/>
                <w:szCs w:val="18"/>
              </w:rPr>
              <w:t>活动质量（10分）</w:t>
            </w:r>
          </w:p>
        </w:tc>
        <w:tc>
          <w:tcPr>
            <w:tcW w:w="2966" w:type="pct"/>
            <w:tcBorders>
              <w:top w:val="single" w:color="auto" w:sz="4" w:space="0"/>
              <w:left w:val="single" w:color="auto" w:sz="4" w:space="0"/>
              <w:bottom w:val="single" w:color="auto" w:sz="4" w:space="0"/>
              <w:right w:val="single" w:color="auto" w:sz="4" w:space="0"/>
            </w:tcBorders>
            <w:vAlign w:val="center"/>
          </w:tcPr>
          <w:p>
            <w:pPr>
              <w:spacing w:after="100" w:afterAutospacing="1"/>
              <w:jc w:val="left"/>
              <w:rPr>
                <w:rFonts w:ascii="宋体" w:hAnsi="宋体"/>
                <w:sz w:val="18"/>
                <w:szCs w:val="18"/>
              </w:rPr>
            </w:pPr>
            <w:r>
              <w:rPr>
                <w:rFonts w:hint="eastAsia" w:ascii="宋体" w:hAnsi="宋体"/>
                <w:sz w:val="18"/>
                <w:szCs w:val="18"/>
              </w:rPr>
              <w:t>活动覆盖范围广，参与度积极，被校级报道一次及以上，综合表现81-100分。（10分）</w:t>
            </w:r>
          </w:p>
        </w:tc>
        <w:tc>
          <w:tcPr>
            <w:tcW w:w="583" w:type="pct"/>
            <w:vMerge w:val="restart"/>
            <w:tcBorders>
              <w:top w:val="single" w:color="auto" w:sz="4" w:space="0"/>
              <w:left w:val="single" w:color="auto" w:sz="4" w:space="0"/>
              <w:bottom w:val="single" w:color="auto" w:sz="4" w:space="0"/>
              <w:right w:val="single" w:color="auto" w:sz="4" w:space="0"/>
            </w:tcBorders>
            <w:vAlign w:val="center"/>
          </w:tcPr>
          <w:p>
            <w:pPr>
              <w:jc w:val="center"/>
            </w:pPr>
          </w:p>
        </w:tc>
        <w:tc>
          <w:tcPr>
            <w:tcW w:w="587" w:type="pct"/>
            <w:vMerge w:val="restart"/>
            <w:tcBorders>
              <w:top w:val="single" w:color="auto" w:sz="4" w:space="0"/>
              <w:left w:val="single" w:color="auto" w:sz="4" w:space="0"/>
              <w:bottom w:val="single" w:color="auto" w:sz="4" w:space="0"/>
              <w:right w:val="single" w:color="auto" w:sz="4" w:space="0"/>
            </w:tcBorders>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52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34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2966" w:type="pct"/>
            <w:tcBorders>
              <w:top w:val="single" w:color="auto" w:sz="4" w:space="0"/>
              <w:left w:val="single" w:color="auto" w:sz="4" w:space="0"/>
              <w:bottom w:val="single" w:color="auto" w:sz="4" w:space="0"/>
              <w:right w:val="single" w:color="auto" w:sz="4" w:space="0"/>
            </w:tcBorders>
            <w:vAlign w:val="center"/>
          </w:tcPr>
          <w:p>
            <w:pPr>
              <w:spacing w:after="100" w:afterAutospacing="1"/>
              <w:jc w:val="left"/>
              <w:rPr>
                <w:rFonts w:ascii="宋体" w:hAnsi="宋体"/>
                <w:sz w:val="18"/>
                <w:szCs w:val="18"/>
              </w:rPr>
            </w:pPr>
            <w:r>
              <w:rPr>
                <w:rFonts w:hint="eastAsia" w:ascii="宋体" w:hAnsi="宋体"/>
                <w:sz w:val="18"/>
                <w:szCs w:val="18"/>
              </w:rPr>
              <w:t>活动覆盖范围广，参与度一般，无被校级报道一次及以上，综合表现71-80分。（6-9分）</w:t>
            </w:r>
          </w:p>
        </w:tc>
        <w:tc>
          <w:tcPr>
            <w:tcW w:w="58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52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34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2966" w:type="pct"/>
            <w:tcBorders>
              <w:top w:val="single" w:color="auto" w:sz="4" w:space="0"/>
              <w:left w:val="single" w:color="auto" w:sz="4" w:space="0"/>
              <w:bottom w:val="single" w:color="auto" w:sz="4" w:space="0"/>
              <w:right w:val="single" w:color="auto" w:sz="4" w:space="0"/>
            </w:tcBorders>
            <w:vAlign w:val="center"/>
          </w:tcPr>
          <w:p>
            <w:pPr>
              <w:spacing w:after="100" w:afterAutospacing="1"/>
              <w:jc w:val="left"/>
              <w:rPr>
                <w:rFonts w:ascii="宋体" w:hAnsi="宋体"/>
                <w:sz w:val="18"/>
                <w:szCs w:val="18"/>
              </w:rPr>
            </w:pPr>
            <w:r>
              <w:rPr>
                <w:rFonts w:hint="eastAsia" w:ascii="宋体" w:hAnsi="宋体"/>
                <w:sz w:val="18"/>
                <w:szCs w:val="18"/>
              </w:rPr>
              <w:t>活动覆盖范围小，参与度低下，无被校级报道一次及以上，综合表现61-70分。（2-5分）</w:t>
            </w:r>
          </w:p>
        </w:tc>
        <w:tc>
          <w:tcPr>
            <w:tcW w:w="58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52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34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2966" w:type="pct"/>
            <w:tcBorders>
              <w:top w:val="single" w:color="auto" w:sz="4" w:space="0"/>
              <w:left w:val="single" w:color="auto" w:sz="4" w:space="0"/>
              <w:bottom w:val="single" w:color="auto" w:sz="4" w:space="0"/>
              <w:right w:val="single" w:color="auto" w:sz="4" w:space="0"/>
            </w:tcBorders>
            <w:vAlign w:val="center"/>
          </w:tcPr>
          <w:p>
            <w:pPr>
              <w:spacing w:after="100" w:afterAutospacing="1"/>
              <w:jc w:val="left"/>
              <w:rPr>
                <w:rFonts w:ascii="宋体" w:hAnsi="宋体"/>
                <w:sz w:val="18"/>
                <w:szCs w:val="18"/>
              </w:rPr>
            </w:pPr>
            <w:r>
              <w:rPr>
                <w:rFonts w:hint="eastAsia" w:ascii="宋体" w:hAnsi="宋体"/>
                <w:sz w:val="18"/>
                <w:szCs w:val="18"/>
              </w:rPr>
              <w:t>活动覆盖范围小，参与度0，无被校级报道一次及以上，综合表现≦60。（0分）</w:t>
            </w:r>
          </w:p>
        </w:tc>
        <w:tc>
          <w:tcPr>
            <w:tcW w:w="58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523" w:type="pct"/>
            <w:vMerge w:val="restart"/>
            <w:tcBorders>
              <w:top w:val="single" w:color="auto" w:sz="4" w:space="0"/>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学生社团活动舞台表演评分（1</w:t>
            </w:r>
            <w:r>
              <w:rPr>
                <w:rFonts w:ascii="宋体" w:hAnsi="宋体"/>
                <w:sz w:val="18"/>
                <w:szCs w:val="18"/>
              </w:rPr>
              <w:t>5</w:t>
            </w:r>
            <w:r>
              <w:rPr>
                <w:rFonts w:hint="eastAsia" w:ascii="宋体" w:hAnsi="宋体"/>
                <w:sz w:val="18"/>
                <w:szCs w:val="18"/>
              </w:rPr>
              <w:t>分）</w:t>
            </w:r>
          </w:p>
        </w:tc>
        <w:tc>
          <w:tcPr>
            <w:tcW w:w="341" w:type="pct"/>
            <w:vMerge w:val="restart"/>
            <w:tcBorders>
              <w:top w:val="single" w:color="auto" w:sz="4" w:space="0"/>
              <w:left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参与活动（1</w:t>
            </w:r>
            <w:r>
              <w:rPr>
                <w:rFonts w:ascii="宋体" w:hAnsi="宋体"/>
                <w:sz w:val="18"/>
                <w:szCs w:val="18"/>
              </w:rPr>
              <w:t>5</w:t>
            </w:r>
            <w:r>
              <w:rPr>
                <w:rFonts w:hint="eastAsia" w:ascii="宋体" w:hAnsi="宋体"/>
                <w:sz w:val="18"/>
                <w:szCs w:val="18"/>
              </w:rPr>
              <w:t>分）</w:t>
            </w:r>
          </w:p>
        </w:tc>
        <w:tc>
          <w:tcPr>
            <w:tcW w:w="2966" w:type="pct"/>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社团参加由社团管理部认定的活动一次（2分）</w:t>
            </w:r>
          </w:p>
        </w:tc>
        <w:tc>
          <w:tcPr>
            <w:tcW w:w="583" w:type="pct"/>
            <w:vMerge w:val="restart"/>
            <w:tcBorders>
              <w:top w:val="single" w:color="auto" w:sz="4" w:space="0"/>
              <w:left w:val="single" w:color="auto" w:sz="4" w:space="0"/>
              <w:bottom w:val="single" w:color="auto" w:sz="4" w:space="0"/>
              <w:right w:val="single" w:color="auto" w:sz="4" w:space="0"/>
            </w:tcBorders>
          </w:tcPr>
          <w:p/>
        </w:tc>
        <w:tc>
          <w:tcPr>
            <w:tcW w:w="587" w:type="pct"/>
            <w:vMerge w:val="restart"/>
            <w:tcBorders>
              <w:top w:val="single" w:color="auto" w:sz="4" w:space="0"/>
              <w:left w:val="single" w:color="auto" w:sz="4" w:space="0"/>
              <w:bottom w:val="single" w:color="auto" w:sz="4" w:space="0"/>
              <w:right w:val="single" w:color="auto" w:sz="4" w:space="0"/>
            </w:tcBorders>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23" w:type="pct"/>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341" w:type="pct"/>
            <w:vMerge w:val="continue"/>
            <w:tcBorders>
              <w:left w:val="single" w:color="auto" w:sz="4" w:space="0"/>
              <w:right w:val="single" w:color="auto" w:sz="4" w:space="0"/>
            </w:tcBorders>
            <w:vAlign w:val="center"/>
          </w:tcPr>
          <w:p>
            <w:pPr>
              <w:jc w:val="left"/>
              <w:rPr>
                <w:rFonts w:ascii="宋体" w:hAnsi="宋体"/>
                <w:sz w:val="18"/>
                <w:szCs w:val="18"/>
              </w:rPr>
            </w:pPr>
          </w:p>
        </w:tc>
        <w:tc>
          <w:tcPr>
            <w:tcW w:w="2966" w:type="pct"/>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社团有参加社团管理部举办的活动一次（3分）</w:t>
            </w:r>
          </w:p>
        </w:tc>
        <w:tc>
          <w:tcPr>
            <w:tcW w:w="58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523" w:type="pct"/>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341" w:type="pct"/>
            <w:vMerge w:val="continue"/>
            <w:tcBorders>
              <w:left w:val="single" w:color="auto" w:sz="4" w:space="0"/>
              <w:right w:val="single" w:color="auto" w:sz="4" w:space="0"/>
            </w:tcBorders>
            <w:vAlign w:val="center"/>
          </w:tcPr>
          <w:p>
            <w:pPr>
              <w:jc w:val="left"/>
              <w:rPr>
                <w:rFonts w:ascii="宋体" w:hAnsi="宋体"/>
                <w:sz w:val="18"/>
                <w:szCs w:val="18"/>
              </w:rPr>
            </w:pPr>
          </w:p>
        </w:tc>
        <w:tc>
          <w:tcPr>
            <w:tcW w:w="2966" w:type="pct"/>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社团有参加院级及校级大型活动一次（5分）</w:t>
            </w:r>
          </w:p>
        </w:tc>
        <w:tc>
          <w:tcPr>
            <w:tcW w:w="58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523" w:type="pct"/>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获奖评分（20分）</w:t>
            </w:r>
          </w:p>
        </w:tc>
        <w:tc>
          <w:tcPr>
            <w:tcW w:w="341" w:type="pct"/>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获奖情况</w:t>
            </w:r>
          </w:p>
        </w:tc>
        <w:tc>
          <w:tcPr>
            <w:tcW w:w="2966" w:type="pct"/>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社团在省级比赛或活动中获得奖励/名次（10分）</w:t>
            </w:r>
          </w:p>
        </w:tc>
        <w:tc>
          <w:tcPr>
            <w:tcW w:w="583" w:type="pct"/>
            <w:vMerge w:val="restart"/>
            <w:tcBorders>
              <w:top w:val="single" w:color="auto" w:sz="4" w:space="0"/>
              <w:left w:val="single" w:color="auto" w:sz="4" w:space="0"/>
              <w:bottom w:val="single" w:color="auto" w:sz="4" w:space="0"/>
              <w:right w:val="single" w:color="auto" w:sz="4" w:space="0"/>
            </w:tcBorders>
          </w:tcPr>
          <w:p/>
        </w:tc>
        <w:tc>
          <w:tcPr>
            <w:tcW w:w="587" w:type="pct"/>
            <w:vMerge w:val="restart"/>
            <w:tcBorders>
              <w:top w:val="single" w:color="auto" w:sz="4" w:space="0"/>
              <w:left w:val="single" w:color="auto" w:sz="4" w:space="0"/>
              <w:bottom w:val="single" w:color="auto" w:sz="4" w:space="0"/>
              <w:right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52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34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2966" w:type="pct"/>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社团在市级比赛或活动中获得奖励/名次（8分）</w:t>
            </w:r>
          </w:p>
        </w:tc>
        <w:tc>
          <w:tcPr>
            <w:tcW w:w="58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52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34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2966" w:type="pct"/>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社团在校级比赛或活动中获得奖励/名次（5-8分）</w:t>
            </w:r>
          </w:p>
        </w:tc>
        <w:tc>
          <w:tcPr>
            <w:tcW w:w="58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r>
    </w:tbl>
    <w:p>
      <w:pPr>
        <w:pStyle w:val="5"/>
        <w:spacing w:before="0" w:beforeAutospacing="0" w:after="0" w:afterAutospacing="0" w:line="500" w:lineRule="exact"/>
        <w:ind w:firstLine="2"/>
        <w:rPr>
          <w:rFonts w:ascii="仿宋_GB2312" w:hAnsi="仿宋_GB2312" w:eastAsia="仿宋_GB2312"/>
          <w:spacing w:val="-6"/>
          <w:kern w:val="2"/>
          <w:sz w:val="21"/>
          <w:szCs w:val="21"/>
        </w:rPr>
      </w:pPr>
      <w:r>
        <w:rPr>
          <w:rFonts w:ascii="仿宋_GB2312" w:hAnsi="仿宋_GB2312" w:eastAsia="仿宋_GB2312"/>
          <w:spacing w:val="-6"/>
          <w:kern w:val="2"/>
          <w:sz w:val="21"/>
          <w:szCs w:val="21"/>
        </w:rPr>
        <w:t>填表</w:t>
      </w:r>
      <w:r>
        <w:rPr>
          <w:rFonts w:hint="eastAsia" w:ascii="仿宋_GB2312" w:hAnsi="仿宋_GB2312" w:eastAsia="仿宋_GB2312"/>
          <w:spacing w:val="-6"/>
          <w:kern w:val="2"/>
          <w:sz w:val="21"/>
          <w:szCs w:val="21"/>
        </w:rPr>
        <w:t>说</w:t>
      </w:r>
      <w:r>
        <w:rPr>
          <w:rFonts w:ascii="仿宋_GB2312" w:hAnsi="仿宋_GB2312" w:eastAsia="仿宋_GB2312"/>
          <w:spacing w:val="-6"/>
          <w:kern w:val="2"/>
          <w:sz w:val="21"/>
          <w:szCs w:val="21"/>
        </w:rPr>
        <w:t>明：</w:t>
      </w:r>
    </w:p>
    <w:p>
      <w:pPr>
        <w:pStyle w:val="5"/>
        <w:numPr>
          <w:ilvl w:val="0"/>
          <w:numId w:val="1"/>
        </w:numPr>
        <w:spacing w:before="0" w:beforeAutospacing="0" w:after="0" w:afterAutospacing="0"/>
        <w:ind w:firstLine="2"/>
        <w:rPr>
          <w:rFonts w:ascii="仿宋_GB2312" w:hAnsi="仿宋_GB2312" w:eastAsia="仿宋_GB2312"/>
          <w:spacing w:val="-6"/>
          <w:kern w:val="2"/>
          <w:sz w:val="21"/>
          <w:szCs w:val="21"/>
        </w:rPr>
      </w:pPr>
      <w:r>
        <w:rPr>
          <w:rFonts w:ascii="仿宋_GB2312" w:hAnsi="仿宋_GB2312" w:eastAsia="仿宋_GB2312"/>
          <w:spacing w:val="-6"/>
          <w:kern w:val="2"/>
          <w:sz w:val="21"/>
          <w:szCs w:val="21"/>
        </w:rPr>
        <w:t>在“社团活动次数”栏目中，社团内部活动、培训两次及以上和系列活动仅记为两次。</w:t>
      </w:r>
    </w:p>
    <w:p>
      <w:pPr>
        <w:pStyle w:val="5"/>
        <w:numPr>
          <w:ilvl w:val="0"/>
          <w:numId w:val="1"/>
        </w:numPr>
        <w:spacing w:before="0" w:beforeAutospacing="0" w:after="0" w:afterAutospacing="0"/>
        <w:ind w:firstLine="2"/>
        <w:rPr>
          <w:rFonts w:ascii="仿宋_GB2312" w:hAnsi="仿宋_GB2312" w:eastAsia="仿宋_GB2312"/>
          <w:spacing w:val="-6"/>
          <w:kern w:val="2"/>
          <w:sz w:val="21"/>
          <w:szCs w:val="21"/>
        </w:rPr>
      </w:pPr>
      <w:r>
        <w:rPr>
          <w:rFonts w:ascii="仿宋_GB2312" w:hAnsi="仿宋_GB2312" w:eastAsia="仿宋_GB2312"/>
          <w:spacing w:val="-6"/>
          <w:kern w:val="2"/>
          <w:sz w:val="21"/>
          <w:szCs w:val="21"/>
        </w:rPr>
        <w:t>在“</w:t>
      </w:r>
      <w:r>
        <w:rPr>
          <w:rFonts w:hint="eastAsia"/>
          <w:sz w:val="18"/>
          <w:szCs w:val="18"/>
        </w:rPr>
        <w:t>获奖评分</w:t>
      </w:r>
      <w:r>
        <w:rPr>
          <w:rFonts w:ascii="仿宋_GB2312" w:hAnsi="仿宋_GB2312" w:eastAsia="仿宋_GB2312"/>
          <w:spacing w:val="-6"/>
          <w:kern w:val="2"/>
          <w:sz w:val="21"/>
          <w:szCs w:val="21"/>
        </w:rPr>
        <w:t>”栏目中，系列活动中各单项活动可累计加分，最高不得超过</w:t>
      </w:r>
      <w:r>
        <w:rPr>
          <w:rFonts w:hint="eastAsia" w:ascii="仿宋_GB2312" w:hAnsi="仿宋_GB2312" w:eastAsia="仿宋_GB2312"/>
          <w:spacing w:val="-6"/>
          <w:kern w:val="2"/>
          <w:sz w:val="21"/>
          <w:szCs w:val="21"/>
        </w:rPr>
        <w:t>2</w:t>
      </w:r>
      <w:r>
        <w:rPr>
          <w:rFonts w:ascii="仿宋_GB2312" w:hAnsi="仿宋_GB2312" w:eastAsia="仿宋_GB2312"/>
          <w:spacing w:val="-6"/>
          <w:kern w:val="2"/>
          <w:sz w:val="21"/>
          <w:szCs w:val="21"/>
        </w:rPr>
        <w:t>0分；同一活动多次获奖的不得累加，取最高项。</w:t>
      </w:r>
    </w:p>
    <w:p>
      <w:pPr>
        <w:pStyle w:val="5"/>
        <w:spacing w:before="0" w:beforeAutospacing="0" w:after="0" w:afterAutospacing="0"/>
        <w:rPr>
          <w:rFonts w:ascii="仿宋_GB2312" w:hAnsi="仿宋_GB2312" w:eastAsia="仿宋_GB2312"/>
          <w:spacing w:val="-6"/>
          <w:kern w:val="2"/>
          <w:sz w:val="21"/>
          <w:szCs w:val="21"/>
        </w:rPr>
      </w:pPr>
      <w:r>
        <w:rPr>
          <w:rFonts w:ascii="仿宋_GB2312" w:hAnsi="仿宋_GB2312" w:eastAsia="仿宋_GB2312"/>
          <w:spacing w:val="-6"/>
          <w:kern w:val="2"/>
          <w:sz w:val="21"/>
          <w:szCs w:val="21"/>
        </w:rPr>
        <w:t>3、在“活动质量”栏目中，系列活动中各单项多次被校级报道一次及以上可累计加分，最高不得超过1</w:t>
      </w:r>
      <w:r>
        <w:rPr>
          <w:rFonts w:hint="eastAsia" w:ascii="仿宋_GB2312" w:hAnsi="仿宋_GB2312" w:eastAsia="仿宋_GB2312"/>
          <w:spacing w:val="-6"/>
          <w:kern w:val="2"/>
          <w:sz w:val="21"/>
          <w:szCs w:val="21"/>
        </w:rPr>
        <w:t>0</w:t>
      </w:r>
      <w:r>
        <w:rPr>
          <w:rFonts w:ascii="仿宋_GB2312" w:hAnsi="仿宋_GB2312" w:eastAsia="仿宋_GB2312"/>
          <w:spacing w:val="-6"/>
          <w:kern w:val="2"/>
          <w:sz w:val="21"/>
          <w:szCs w:val="21"/>
        </w:rPr>
        <w:t>分；同一活动被报道的不得累计加分，取最高</w:t>
      </w:r>
    </w:p>
    <w:p>
      <w:pPr>
        <w:pStyle w:val="5"/>
        <w:spacing w:before="0" w:beforeAutospacing="0" w:after="0" w:afterAutospacing="0"/>
        <w:rPr>
          <w:rFonts w:ascii="仿宋_GB2312" w:hAnsi="仿宋_GB2312" w:eastAsia="仿宋_GB2312"/>
          <w:spacing w:val="-6"/>
          <w:kern w:val="2"/>
          <w:sz w:val="21"/>
          <w:szCs w:val="21"/>
        </w:rPr>
      </w:pPr>
    </w:p>
    <w:p>
      <w:pPr>
        <w:pStyle w:val="5"/>
        <w:spacing w:before="0" w:beforeAutospacing="0" w:after="0" w:afterAutospacing="0"/>
        <w:rPr>
          <w:rFonts w:ascii="仿宋_GB2312" w:hAnsi="仿宋_GB2312" w:eastAsia="仿宋_GB2312"/>
          <w:spacing w:val="-6"/>
          <w:kern w:val="2"/>
          <w:sz w:val="21"/>
          <w:szCs w:val="21"/>
        </w:rPr>
      </w:pPr>
    </w:p>
    <w:p/>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88056E"/>
    <w:multiLevelType w:val="singleLevel"/>
    <w:tmpl w:val="1E88056E"/>
    <w:lvl w:ilvl="0" w:tentative="0">
      <w:start w:val="1"/>
      <w:numFmt w:val="decimal"/>
      <w:suff w:val="nothing"/>
      <w:lvlText w:val="%1、"/>
      <w:lvlJc w:val="left"/>
      <w:pPr>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4341B5"/>
    <w:rsid w:val="065B43CD"/>
    <w:rsid w:val="389F2B24"/>
    <w:rsid w:val="3B9B06A4"/>
    <w:rsid w:val="6BAE7B5B"/>
    <w:rsid w:val="744341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rFonts w:ascii="Calibri" w:hAnsi="Calibri" w:eastAsia="宋体" w:cs="Times New Roman"/>
      <w:b/>
      <w:bCs/>
      <w:kern w:val="44"/>
      <w:sz w:val="44"/>
      <w:szCs w:val="44"/>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5">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55</Words>
  <Characters>62</Characters>
  <Lines>0</Lines>
  <Paragraphs>0</Paragraphs>
  <TotalTime>1</TotalTime>
  <ScaleCrop>false</ScaleCrop>
  <LinksUpToDate>false</LinksUpToDate>
  <CharactersWithSpaces>65</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2022-04-20T07:45:00Z</dcterms:created>
  <dc:creator>沫葵</dc:creator>
  <cp:lastModifiedBy>沫葵</cp:lastModifiedBy>
  <dcterms:modified xsi:type="dcterms:W3CDTF">2022-04-20T07:46:54Z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D700931572F24B0D9886BFD6BAC528D5</vt:lpwstr>
  </property>
</Properties>
</file>