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szCs w:val="21"/>
        </w:rPr>
      </w:pPr>
      <w:r>
        <w:rPr>
          <w:rFonts w:hint="eastAsia" w:ascii="宋体" w:hAnsi="宋体"/>
          <w:b/>
          <w:szCs w:val="21"/>
        </w:rPr>
        <w:t>附件三：</w:t>
      </w:r>
    </w:p>
    <w:p>
      <w:pPr>
        <w:jc w:val="center"/>
        <w:rPr>
          <w:b/>
          <w:sz w:val="44"/>
          <w:szCs w:val="44"/>
        </w:rPr>
      </w:pPr>
      <w:r>
        <w:rPr>
          <w:rFonts w:hint="eastAsia"/>
          <w:b/>
          <w:sz w:val="44"/>
          <w:szCs w:val="44"/>
        </w:rPr>
        <w:t>广州科技贸易职业学院</w:t>
      </w:r>
      <w:r>
        <w:rPr>
          <w:b/>
          <w:sz w:val="44"/>
          <w:szCs w:val="44"/>
        </w:rPr>
        <w:t>2021—2022</w:t>
      </w:r>
      <w:r>
        <w:rPr>
          <w:rFonts w:hint="eastAsia"/>
          <w:b/>
          <w:sz w:val="44"/>
          <w:szCs w:val="44"/>
        </w:rPr>
        <w:t>年度</w:t>
      </w:r>
    </w:p>
    <w:p>
      <w:pPr>
        <w:jc w:val="center"/>
        <w:rPr>
          <w:b/>
          <w:sz w:val="44"/>
          <w:szCs w:val="44"/>
        </w:rPr>
      </w:pPr>
      <w:r>
        <w:rPr>
          <w:rFonts w:hint="eastAsia"/>
          <w:b/>
          <w:sz w:val="44"/>
          <w:szCs w:val="44"/>
        </w:rPr>
        <w:t>学生会互评考核表</w:t>
      </w:r>
    </w:p>
    <w:p>
      <w:pPr>
        <w:ind w:left="-540" w:leftChars="-257" w:firstLine="10300" w:firstLineChars="5700"/>
        <w:jc w:val="center"/>
        <w:rPr>
          <w:rFonts w:ascii="宋体" w:hAnsi="宋体"/>
          <w:sz w:val="18"/>
          <w:szCs w:val="18"/>
        </w:rPr>
      </w:pPr>
      <w:r>
        <w:rPr>
          <w:rFonts w:hint="eastAsia" w:ascii="宋体" w:hAnsi="宋体"/>
          <w:b/>
          <w:sz w:val="18"/>
          <w:szCs w:val="18"/>
        </w:rPr>
        <w:t>（各二级学院按首字母顺序排序）</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3"/>
        <w:gridCol w:w="8868"/>
        <w:gridCol w:w="576"/>
        <w:gridCol w:w="576"/>
        <w:gridCol w:w="431"/>
        <w:gridCol w:w="431"/>
        <w:gridCol w:w="431"/>
        <w:gridCol w:w="431"/>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3837" w:type="pct"/>
            <w:gridSpan w:val="2"/>
            <w:vAlign w:val="center"/>
          </w:tcPr>
          <w:p>
            <w:pPr>
              <w:jc w:val="center"/>
              <w:rPr>
                <w:rFonts w:ascii="仿宋_GB2312" w:eastAsia="仿宋_GB2312"/>
                <w:b/>
                <w:bCs/>
                <w:spacing w:val="20"/>
                <w:sz w:val="32"/>
                <w:szCs w:val="32"/>
              </w:rPr>
            </w:pPr>
            <w:r>
              <w:rPr>
                <w:rFonts w:hint="eastAsia" w:ascii="仿宋_GB2312" w:eastAsia="仿宋_GB2312"/>
                <w:b/>
                <w:bCs/>
                <w:spacing w:val="20"/>
                <w:sz w:val="32"/>
                <w:szCs w:val="32"/>
              </w:rPr>
              <w:t xml:space="preserve">考   核  项  目  及  </w:t>
            </w:r>
            <w:r>
              <w:rPr>
                <w:rFonts w:hint="eastAsia" w:ascii="仿宋_GB2312" w:eastAsia="仿宋_GB2312"/>
                <w:b/>
                <w:bCs/>
                <w:color w:val="000000"/>
                <w:spacing w:val="20"/>
                <w:sz w:val="32"/>
                <w:szCs w:val="32"/>
              </w:rPr>
              <w:t>分  值</w:t>
            </w:r>
          </w:p>
        </w:tc>
        <w:tc>
          <w:tcPr>
            <w:tcW w:w="203" w:type="pct"/>
            <w:vAlign w:val="center"/>
          </w:tcPr>
          <w:p>
            <w:pPr>
              <w:jc w:val="center"/>
            </w:pPr>
            <w:r>
              <w:rPr>
                <w:rFonts w:hint="eastAsia" w:ascii="宋体" w:hAnsi="宋体"/>
                <w:b/>
                <w:sz w:val="18"/>
                <w:szCs w:val="18"/>
              </w:rPr>
              <w:t>财经学院</w:t>
            </w:r>
          </w:p>
        </w:tc>
        <w:tc>
          <w:tcPr>
            <w:tcW w:w="203" w:type="pct"/>
            <w:vAlign w:val="center"/>
          </w:tcPr>
          <w:p>
            <w:pPr>
              <w:jc w:val="center"/>
            </w:pPr>
            <w:r>
              <w:rPr>
                <w:rFonts w:hint="eastAsia" w:ascii="宋体" w:hAnsi="宋体"/>
                <w:b/>
                <w:sz w:val="18"/>
                <w:szCs w:val="18"/>
              </w:rPr>
              <w:t>管理学院</w:t>
            </w:r>
          </w:p>
        </w:tc>
        <w:tc>
          <w:tcPr>
            <w:tcW w:w="152" w:type="pct"/>
            <w:vAlign w:val="center"/>
          </w:tcPr>
          <w:p>
            <w:pPr>
              <w:jc w:val="center"/>
            </w:pPr>
            <w:r>
              <w:rPr>
                <w:rFonts w:hint="eastAsia" w:ascii="宋体" w:hAnsi="宋体"/>
                <w:b/>
                <w:sz w:val="18"/>
                <w:szCs w:val="18"/>
              </w:rPr>
              <w:t>交通工程学院</w:t>
            </w:r>
          </w:p>
        </w:tc>
        <w:tc>
          <w:tcPr>
            <w:tcW w:w="152" w:type="pct"/>
            <w:vAlign w:val="center"/>
          </w:tcPr>
          <w:p>
            <w:pPr>
              <w:jc w:val="center"/>
            </w:pPr>
            <w:r>
              <w:rPr>
                <w:rFonts w:hint="eastAsia" w:ascii="宋体" w:hAnsi="宋体"/>
                <w:b/>
                <w:sz w:val="18"/>
                <w:szCs w:val="18"/>
              </w:rPr>
              <w:t>商贸学院</w:t>
            </w:r>
          </w:p>
        </w:tc>
        <w:tc>
          <w:tcPr>
            <w:tcW w:w="152" w:type="pct"/>
            <w:vAlign w:val="center"/>
          </w:tcPr>
          <w:p>
            <w:pPr>
              <w:jc w:val="center"/>
            </w:pPr>
            <w:r>
              <w:rPr>
                <w:rFonts w:hint="eastAsia" w:ascii="宋体" w:hAnsi="宋体"/>
                <w:b/>
                <w:sz w:val="18"/>
                <w:szCs w:val="18"/>
              </w:rPr>
              <w:t>信息工程学院</w:t>
            </w:r>
          </w:p>
        </w:tc>
        <w:tc>
          <w:tcPr>
            <w:tcW w:w="152" w:type="pct"/>
            <w:vAlign w:val="center"/>
          </w:tcPr>
          <w:p>
            <w:pPr>
              <w:jc w:val="center"/>
            </w:pPr>
            <w:r>
              <w:rPr>
                <w:rFonts w:hint="eastAsia" w:ascii="宋体" w:hAnsi="宋体"/>
                <w:b/>
                <w:sz w:val="18"/>
                <w:szCs w:val="18"/>
              </w:rPr>
              <w:t>艺术设计学院</w:t>
            </w:r>
          </w:p>
        </w:tc>
        <w:tc>
          <w:tcPr>
            <w:tcW w:w="147" w:type="pct"/>
          </w:tcPr>
          <w:p>
            <w:pPr>
              <w:jc w:val="center"/>
            </w:pPr>
            <w:r>
              <w:rPr>
                <w:rFonts w:hint="eastAsia" w:ascii="宋体" w:hAnsi="宋体"/>
                <w:b/>
                <w:sz w:val="18"/>
                <w:szCs w:val="18"/>
              </w:rPr>
              <w:t>智能制造学院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710" w:type="pct"/>
            <w:vMerge w:val="restart"/>
            <w:vAlign w:val="center"/>
          </w:tcPr>
          <w:p>
            <w:pPr>
              <w:jc w:val="center"/>
              <w:rPr>
                <w:rFonts w:ascii="宋体" w:hAnsi="宋体"/>
                <w:sz w:val="18"/>
                <w:szCs w:val="18"/>
              </w:rPr>
            </w:pPr>
            <w:r>
              <w:rPr>
                <w:rFonts w:hint="eastAsia" w:ascii="宋体" w:hAnsi="宋体"/>
                <w:sz w:val="18"/>
                <w:szCs w:val="18"/>
              </w:rPr>
              <w:t>思想建设</w:t>
            </w:r>
          </w:p>
          <w:p>
            <w:pPr>
              <w:jc w:val="center"/>
              <w:rPr>
                <w:rFonts w:ascii="宋体" w:hAnsi="宋体"/>
                <w:sz w:val="18"/>
                <w:szCs w:val="18"/>
              </w:rPr>
            </w:pPr>
            <w:r>
              <w:rPr>
                <w:rFonts w:hint="eastAsia" w:ascii="宋体" w:hAnsi="宋体"/>
                <w:sz w:val="18"/>
                <w:szCs w:val="18"/>
              </w:rPr>
              <w:t>（12分）</w:t>
            </w:r>
          </w:p>
        </w:tc>
        <w:tc>
          <w:tcPr>
            <w:tcW w:w="3127" w:type="pct"/>
            <w:vAlign w:val="center"/>
          </w:tcPr>
          <w:p>
            <w:pPr>
              <w:jc w:val="left"/>
              <w:rPr>
                <w:rFonts w:ascii="宋体" w:hAnsi="宋体"/>
                <w:sz w:val="18"/>
                <w:szCs w:val="18"/>
              </w:rPr>
            </w:pPr>
            <w:r>
              <w:rPr>
                <w:rFonts w:hint="eastAsia" w:ascii="宋体" w:hAnsi="宋体"/>
                <w:sz w:val="18"/>
                <w:szCs w:val="18"/>
              </w:rPr>
              <w:t>深入学习贯彻十九大精神，</w:t>
            </w:r>
            <w:r>
              <w:rPr>
                <w:rFonts w:ascii="宋体" w:hAnsi="宋体"/>
                <w:sz w:val="18"/>
                <w:szCs w:val="18"/>
              </w:rPr>
              <w:t>以习近平新时代中国特色社会主义思想为指引</w:t>
            </w:r>
            <w:r>
              <w:rPr>
                <w:rFonts w:hint="eastAsia" w:ascii="宋体" w:hAnsi="宋体"/>
                <w:sz w:val="18"/>
                <w:szCs w:val="18"/>
              </w:rPr>
              <w:t>，以学习贯彻习总书记系列重要讲话精神为统领，“五四”、“七一”、国庆等节日和等重要事件为契机，组织开展党史国情、革命传统、形势政策等教育活动。6分</w:t>
            </w:r>
          </w:p>
        </w:tc>
        <w:tc>
          <w:tcPr>
            <w:tcW w:w="203" w:type="pct"/>
            <w:vAlign w:val="center"/>
          </w:tcPr>
          <w:p>
            <w:pPr>
              <w:jc w:val="left"/>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47"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710" w:type="pct"/>
            <w:vMerge w:val="continue"/>
            <w:vAlign w:val="center"/>
          </w:tcPr>
          <w:p>
            <w:pPr>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强化狠抓学生会成员思想认识和意识培养工作，注重学生干部思想教育，全面贯彻党的十九大精神，关注时事热点，以鲜活的活动带动有效的主题工作宣传。3分</w:t>
            </w:r>
          </w:p>
        </w:tc>
        <w:tc>
          <w:tcPr>
            <w:tcW w:w="203" w:type="pct"/>
            <w:vAlign w:val="center"/>
          </w:tcPr>
          <w:p>
            <w:pPr>
              <w:jc w:val="left"/>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47"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710" w:type="pct"/>
            <w:vMerge w:val="continue"/>
            <w:vAlign w:val="center"/>
          </w:tcPr>
          <w:p>
            <w:pPr>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结合当代大学生特点，开展贴近校园、贴近学生、贴近实际或打造具“特色化、项目化、精品化”活动，创新思想政治教育工作，提高校园文化建设的规模和质量。3分</w:t>
            </w:r>
          </w:p>
        </w:tc>
        <w:tc>
          <w:tcPr>
            <w:tcW w:w="203" w:type="pct"/>
            <w:vAlign w:val="center"/>
          </w:tcPr>
          <w:p>
            <w:pPr>
              <w:jc w:val="left"/>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47"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trPr>
        <w:tc>
          <w:tcPr>
            <w:tcW w:w="710" w:type="pct"/>
            <w:vMerge w:val="restart"/>
            <w:vAlign w:val="center"/>
          </w:tcPr>
          <w:p>
            <w:pPr>
              <w:ind w:firstLine="540" w:firstLineChars="300"/>
              <w:rPr>
                <w:rFonts w:ascii="宋体" w:hAnsi="宋体"/>
                <w:sz w:val="18"/>
                <w:szCs w:val="18"/>
              </w:rPr>
            </w:pPr>
            <w:r>
              <w:rPr>
                <w:rFonts w:hint="eastAsia" w:ascii="宋体" w:hAnsi="宋体"/>
                <w:sz w:val="18"/>
                <w:szCs w:val="18"/>
              </w:rPr>
              <w:t xml:space="preserve"> 组织建设</w:t>
            </w:r>
          </w:p>
          <w:p>
            <w:pPr>
              <w:rPr>
                <w:rFonts w:ascii="宋体" w:hAnsi="宋体"/>
                <w:sz w:val="18"/>
                <w:szCs w:val="18"/>
              </w:rPr>
            </w:pPr>
            <w:r>
              <w:rPr>
                <w:rFonts w:hint="eastAsia" w:ascii="宋体" w:hAnsi="宋体"/>
                <w:sz w:val="18"/>
                <w:szCs w:val="18"/>
              </w:rPr>
              <w:t xml:space="preserve">      （18分）</w:t>
            </w:r>
          </w:p>
        </w:tc>
        <w:tc>
          <w:tcPr>
            <w:tcW w:w="3127" w:type="pct"/>
            <w:vAlign w:val="center"/>
          </w:tcPr>
          <w:p>
            <w:pPr>
              <w:jc w:val="left"/>
              <w:rPr>
                <w:rFonts w:ascii="宋体" w:hAnsi="宋体"/>
                <w:szCs w:val="21"/>
              </w:rPr>
            </w:pPr>
            <w:r>
              <w:rPr>
                <w:rFonts w:hint="eastAsia"/>
                <w:sz w:val="18"/>
                <w:szCs w:val="18"/>
              </w:rPr>
              <w:t>有规范的制度建设（工作制度、例会制度、值班制度、投诉制度、财务管理制度、干部考评与选拔制度等），且各种制度都能够得到有力的实施。6分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trPr>
        <w:tc>
          <w:tcPr>
            <w:tcW w:w="710" w:type="pct"/>
            <w:vMerge w:val="continue"/>
            <w:vAlign w:val="center"/>
          </w:tcPr>
          <w:p>
            <w:pPr>
              <w:rPr>
                <w:rFonts w:ascii="宋体" w:hAnsi="宋体"/>
                <w:sz w:val="18"/>
                <w:szCs w:val="18"/>
              </w:rPr>
            </w:pPr>
          </w:p>
        </w:tc>
        <w:tc>
          <w:tcPr>
            <w:tcW w:w="3127" w:type="pct"/>
            <w:vAlign w:val="center"/>
          </w:tcPr>
          <w:p>
            <w:pPr>
              <w:jc w:val="left"/>
              <w:rPr>
                <w:rFonts w:ascii="宋体" w:hAnsi="宋体"/>
                <w:sz w:val="18"/>
                <w:szCs w:val="18"/>
              </w:rPr>
            </w:pPr>
            <w:r>
              <w:rPr>
                <w:rFonts w:hint="eastAsia"/>
                <w:sz w:val="18"/>
                <w:szCs w:val="18"/>
              </w:rPr>
              <w:t>有完善的文件档案管理。3分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trPr>
        <w:tc>
          <w:tcPr>
            <w:tcW w:w="710" w:type="pct"/>
            <w:vMerge w:val="continue"/>
            <w:vAlign w:val="center"/>
          </w:tcPr>
          <w:p>
            <w:pPr>
              <w:spacing w:after="100" w:afterAutospacing="1"/>
              <w:jc w:val="center"/>
              <w:rPr>
                <w:rFonts w:ascii="宋体" w:hAnsi="宋体"/>
                <w:sz w:val="18"/>
                <w:szCs w:val="18"/>
              </w:rPr>
            </w:pPr>
          </w:p>
        </w:tc>
        <w:tc>
          <w:tcPr>
            <w:tcW w:w="3127" w:type="pct"/>
            <w:vAlign w:val="center"/>
          </w:tcPr>
          <w:p>
            <w:pPr>
              <w:jc w:val="left"/>
              <w:rPr>
                <w:rFonts w:ascii="宋体" w:hAnsi="宋体"/>
                <w:sz w:val="18"/>
                <w:szCs w:val="18"/>
              </w:rPr>
            </w:pPr>
            <w:r>
              <w:rPr>
                <w:rFonts w:hint="eastAsia"/>
                <w:sz w:val="18"/>
                <w:szCs w:val="18"/>
              </w:rPr>
              <w:t>新媒体和网络宣传工作，每周至少两次以上推送，并能积极转发学校公众号平台以及校学生会微信平台相关文章，开展线上活动；及时在校学生会公众号发通讯报道。3分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10" w:type="pct"/>
            <w:vMerge w:val="continue"/>
            <w:vAlign w:val="center"/>
          </w:tcPr>
          <w:p>
            <w:pPr>
              <w:spacing w:after="100" w:afterAutospacing="1"/>
              <w:jc w:val="center"/>
              <w:rPr>
                <w:rFonts w:ascii="宋体" w:hAnsi="宋体"/>
                <w:sz w:val="18"/>
                <w:szCs w:val="18"/>
              </w:rPr>
            </w:pPr>
          </w:p>
        </w:tc>
        <w:tc>
          <w:tcPr>
            <w:tcW w:w="3127" w:type="pct"/>
            <w:vAlign w:val="center"/>
          </w:tcPr>
          <w:p>
            <w:pPr>
              <w:tabs>
                <w:tab w:val="left" w:pos="2094"/>
              </w:tabs>
              <w:jc w:val="left"/>
              <w:rPr>
                <w:rFonts w:ascii="宋体" w:hAnsi="宋体"/>
                <w:sz w:val="18"/>
                <w:szCs w:val="18"/>
              </w:rPr>
            </w:pPr>
            <w:r>
              <w:rPr>
                <w:rFonts w:hint="eastAsia"/>
                <w:sz w:val="18"/>
                <w:szCs w:val="18"/>
              </w:rPr>
              <w:t>能够开展学习经验、科技文化、科普知识、文艺娱乐、运动健身方面的各种讲座及交流活动，举办符合当前主流意识的一系列具有问题性，学术性和公益性等内容充实的活动，促进学生德育体智全面发展。6分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710" w:type="pct"/>
            <w:vMerge w:val="restart"/>
            <w:vAlign w:val="center"/>
          </w:tcPr>
          <w:p>
            <w:pPr>
              <w:ind w:firstLine="360" w:firstLineChars="200"/>
              <w:rPr>
                <w:rFonts w:ascii="宋体" w:hAnsi="宋体"/>
                <w:sz w:val="18"/>
                <w:szCs w:val="18"/>
              </w:rPr>
            </w:pPr>
            <w:r>
              <w:rPr>
                <w:rFonts w:hint="eastAsia" w:ascii="宋体" w:hAnsi="宋体"/>
                <w:sz w:val="18"/>
                <w:szCs w:val="18"/>
              </w:rPr>
              <w:t xml:space="preserve">  深化改革</w:t>
            </w:r>
          </w:p>
          <w:p>
            <w:pPr>
              <w:ind w:firstLine="360" w:firstLineChars="200"/>
              <w:rPr>
                <w:rFonts w:ascii="宋体" w:hAnsi="宋体"/>
                <w:sz w:val="18"/>
                <w:szCs w:val="18"/>
              </w:rPr>
            </w:pPr>
            <w:r>
              <w:rPr>
                <w:rFonts w:hint="eastAsia" w:ascii="宋体" w:hAnsi="宋体"/>
                <w:sz w:val="18"/>
                <w:szCs w:val="18"/>
              </w:rPr>
              <w:t xml:space="preserve">  （12分）</w:t>
            </w:r>
          </w:p>
        </w:tc>
        <w:tc>
          <w:tcPr>
            <w:tcW w:w="3127" w:type="pct"/>
            <w:vAlign w:val="center"/>
          </w:tcPr>
          <w:p>
            <w:pPr>
              <w:jc w:val="left"/>
              <w:rPr>
                <w:rFonts w:ascii="宋体" w:hAnsi="宋体"/>
                <w:sz w:val="18"/>
                <w:szCs w:val="18"/>
              </w:rPr>
            </w:pPr>
            <w:r>
              <w:rPr>
                <w:rFonts w:hint="eastAsia" w:ascii="宋体" w:hAnsi="宋体"/>
                <w:sz w:val="18"/>
                <w:szCs w:val="18"/>
              </w:rPr>
              <w:t>经校学生会批复同意、规范召开学生代表大会。学生会主席团由学生代表大会选举产生。3分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710" w:type="pct"/>
            <w:vMerge w:val="continue"/>
            <w:vAlign w:val="center"/>
          </w:tcPr>
          <w:p>
            <w:pPr>
              <w:spacing w:after="100" w:afterAutospacing="1"/>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能够积极响应校学生会，学生会自评复评相关工作及时上交材料。3分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10" w:type="pct"/>
            <w:vMerge w:val="continue"/>
            <w:vAlign w:val="center"/>
          </w:tcPr>
          <w:p>
            <w:pPr>
              <w:spacing w:after="100" w:afterAutospacing="1"/>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能够定期召开主席团会议、负责人级会议和全体学生会成员例会，且有会议考勤和详细的会议记录。3分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pct"/>
            <w:vMerge w:val="continue"/>
            <w:vAlign w:val="center"/>
          </w:tcPr>
          <w:p>
            <w:pPr>
              <w:spacing w:after="100" w:afterAutospacing="1"/>
              <w:jc w:val="center"/>
              <w:rPr>
                <w:rFonts w:ascii="宋体" w:hAnsi="宋体"/>
                <w:sz w:val="18"/>
                <w:szCs w:val="18"/>
              </w:rPr>
            </w:pPr>
          </w:p>
        </w:tc>
        <w:tc>
          <w:tcPr>
            <w:tcW w:w="3127" w:type="pct"/>
            <w:vAlign w:val="center"/>
          </w:tcPr>
          <w:p>
            <w:pPr>
              <w:tabs>
                <w:tab w:val="left" w:pos="2094"/>
              </w:tabs>
              <w:jc w:val="left"/>
              <w:rPr>
                <w:rFonts w:ascii="宋体" w:hAnsi="宋体"/>
                <w:sz w:val="18"/>
                <w:szCs w:val="18"/>
              </w:rPr>
            </w:pPr>
            <w:r>
              <w:rPr>
                <w:rFonts w:hint="eastAsia" w:ascii="宋体" w:hAnsi="宋体"/>
                <w:sz w:val="18"/>
                <w:szCs w:val="18"/>
              </w:rPr>
              <w:t>学生会完善干部考核机制，积极发挥考核制度的杠杆作用，定期组织干部考核。3分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pct"/>
            <w:vMerge w:val="restart"/>
            <w:vAlign w:val="center"/>
          </w:tcPr>
          <w:p>
            <w:pPr>
              <w:ind w:firstLine="630" w:firstLineChars="350"/>
              <w:rPr>
                <w:rFonts w:ascii="宋体" w:hAnsi="宋体"/>
                <w:sz w:val="18"/>
                <w:szCs w:val="18"/>
              </w:rPr>
            </w:pPr>
            <w:r>
              <w:rPr>
                <w:rFonts w:hint="eastAsia" w:ascii="宋体" w:hAnsi="宋体"/>
                <w:sz w:val="18"/>
                <w:szCs w:val="18"/>
              </w:rPr>
              <w:t>干部培养</w:t>
            </w:r>
          </w:p>
          <w:p>
            <w:pPr>
              <w:spacing w:after="100" w:afterAutospacing="1"/>
              <w:ind w:firstLine="630" w:firstLineChars="350"/>
              <w:rPr>
                <w:rFonts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分）</w:t>
            </w:r>
          </w:p>
        </w:tc>
        <w:tc>
          <w:tcPr>
            <w:tcW w:w="3127" w:type="pct"/>
            <w:vAlign w:val="center"/>
          </w:tcPr>
          <w:p>
            <w:pPr>
              <w:spacing w:after="100" w:afterAutospacing="1"/>
              <w:jc w:val="left"/>
              <w:rPr>
                <w:rFonts w:ascii="宋体" w:hAnsi="宋体"/>
                <w:sz w:val="18"/>
                <w:szCs w:val="18"/>
              </w:rPr>
            </w:pPr>
            <w:r>
              <w:rPr>
                <w:rFonts w:hint="eastAsia" w:ascii="宋体" w:hAnsi="宋体"/>
                <w:sz w:val="18"/>
                <w:szCs w:val="18"/>
              </w:rPr>
              <w:t>对学生干部进行培养工作重视，提高干部思想道德素质，保证学生干部培养质量。3分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pct"/>
            <w:vMerge w:val="continue"/>
            <w:vAlign w:val="center"/>
          </w:tcPr>
          <w:p>
            <w:pPr>
              <w:spacing w:after="100" w:afterAutospacing="1"/>
              <w:jc w:val="center"/>
              <w:rPr>
                <w:rFonts w:ascii="宋体" w:hAnsi="宋体"/>
                <w:sz w:val="18"/>
                <w:szCs w:val="18"/>
              </w:rPr>
            </w:pPr>
          </w:p>
        </w:tc>
        <w:tc>
          <w:tcPr>
            <w:tcW w:w="3127" w:type="pct"/>
            <w:vAlign w:val="center"/>
          </w:tcPr>
          <w:p>
            <w:pPr>
              <w:spacing w:after="100" w:afterAutospacing="1"/>
              <w:jc w:val="left"/>
              <w:rPr>
                <w:rFonts w:ascii="宋体" w:hAnsi="宋体"/>
                <w:sz w:val="18"/>
                <w:szCs w:val="18"/>
              </w:rPr>
            </w:pPr>
            <w:r>
              <w:rPr>
                <w:rFonts w:hint="eastAsia" w:ascii="宋体" w:hAnsi="宋体"/>
                <w:sz w:val="18"/>
                <w:szCs w:val="18"/>
              </w:rPr>
              <w:t>定期对学生干部及干事进行培训、学习活动。</w:t>
            </w:r>
            <w:r>
              <w:rPr>
                <w:rFonts w:ascii="宋体" w:hAnsi="宋体"/>
                <w:sz w:val="18"/>
                <w:szCs w:val="18"/>
              </w:rPr>
              <w:t>6</w:t>
            </w:r>
            <w:r>
              <w:rPr>
                <w:rFonts w:hint="eastAsia" w:ascii="宋体" w:hAnsi="宋体"/>
                <w:sz w:val="18"/>
                <w:szCs w:val="18"/>
              </w:rPr>
              <w:t>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pct"/>
            <w:vMerge w:val="continue"/>
            <w:vAlign w:val="center"/>
          </w:tcPr>
          <w:p>
            <w:pPr>
              <w:spacing w:after="100" w:afterAutospacing="1"/>
              <w:jc w:val="center"/>
              <w:rPr>
                <w:rFonts w:ascii="宋体" w:hAnsi="宋体"/>
                <w:sz w:val="18"/>
                <w:szCs w:val="18"/>
              </w:rPr>
            </w:pPr>
          </w:p>
        </w:tc>
        <w:tc>
          <w:tcPr>
            <w:tcW w:w="3127" w:type="pct"/>
            <w:vAlign w:val="center"/>
          </w:tcPr>
          <w:p>
            <w:pPr>
              <w:spacing w:after="100" w:afterAutospacing="1"/>
              <w:jc w:val="left"/>
              <w:rPr>
                <w:rFonts w:ascii="宋体" w:hAnsi="宋体"/>
                <w:sz w:val="18"/>
                <w:szCs w:val="18"/>
              </w:rPr>
            </w:pPr>
            <w:r>
              <w:rPr>
                <w:rFonts w:hint="eastAsia" w:ascii="宋体" w:hAnsi="宋体"/>
                <w:sz w:val="18"/>
                <w:szCs w:val="18"/>
              </w:rPr>
              <w:t>学生干部有较高的思想政治觉悟和文化素养（学生干部的获奖情况、入党情况和学习成绩情况）学习情况如有挂科可给予扣分，扣分不超过</w:t>
            </w:r>
            <w:r>
              <w:rPr>
                <w:rFonts w:ascii="宋体" w:hAnsi="宋体"/>
                <w:sz w:val="18"/>
                <w:szCs w:val="18"/>
              </w:rPr>
              <w:t>6</w:t>
            </w:r>
            <w:r>
              <w:rPr>
                <w:rFonts w:hint="eastAsia" w:ascii="宋体" w:hAnsi="宋体"/>
                <w:sz w:val="18"/>
                <w:szCs w:val="18"/>
              </w:rPr>
              <w:t>分。3分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10" w:type="pct"/>
            <w:vMerge w:val="restart"/>
            <w:vAlign w:val="center"/>
          </w:tcPr>
          <w:p>
            <w:pPr>
              <w:spacing w:before="100" w:beforeAutospacing="1" w:after="100" w:afterAutospacing="1"/>
              <w:jc w:val="center"/>
              <w:rPr>
                <w:rFonts w:ascii="宋体" w:hAnsi="宋体"/>
                <w:sz w:val="18"/>
                <w:szCs w:val="18"/>
              </w:rPr>
            </w:pPr>
            <w:r>
              <w:rPr>
                <w:rFonts w:hint="eastAsia" w:ascii="宋体" w:hAnsi="宋体"/>
                <w:sz w:val="18"/>
                <w:szCs w:val="18"/>
              </w:rPr>
              <w:t>开展活动</w:t>
            </w:r>
            <w:r>
              <w:rPr>
                <w:rFonts w:hint="eastAsia" w:ascii="宋体" w:hAnsi="宋体"/>
                <w:sz w:val="18"/>
                <w:szCs w:val="18"/>
              </w:rPr>
              <w:br w:type="textWrapping"/>
            </w:r>
            <w:r>
              <w:rPr>
                <w:rFonts w:hint="eastAsia" w:ascii="宋体" w:hAnsi="宋体"/>
                <w:sz w:val="18"/>
                <w:szCs w:val="18"/>
              </w:rPr>
              <w:t>（24分）</w:t>
            </w:r>
          </w:p>
        </w:tc>
        <w:tc>
          <w:tcPr>
            <w:tcW w:w="3127" w:type="pct"/>
            <w:tcBorders>
              <w:bottom w:val="single" w:color="auto" w:sz="4" w:space="0"/>
            </w:tcBorders>
            <w:vAlign w:val="center"/>
          </w:tcPr>
          <w:p>
            <w:pPr>
              <w:spacing w:before="100" w:beforeAutospacing="1" w:after="100" w:afterAutospacing="1" w:line="500" w:lineRule="exact"/>
              <w:rPr>
                <w:rFonts w:ascii="宋体" w:hAnsi="宋体"/>
                <w:sz w:val="18"/>
                <w:szCs w:val="18"/>
              </w:rPr>
            </w:pPr>
            <w:r>
              <w:rPr>
                <w:rFonts w:hint="eastAsia" w:ascii="宋体" w:hAnsi="宋体"/>
                <w:sz w:val="18"/>
                <w:szCs w:val="18"/>
              </w:rPr>
              <w:t>积极参与、协调、组织或承办院级活动，能够为开展院级活动和引领学生思潮做出贡献。5分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10" w:type="pct"/>
            <w:vMerge w:val="continue"/>
            <w:vAlign w:val="center"/>
          </w:tcPr>
          <w:p>
            <w:pPr>
              <w:spacing w:before="100" w:beforeAutospacing="1" w:after="100" w:afterAutospacing="1"/>
              <w:jc w:val="center"/>
              <w:rPr>
                <w:rFonts w:ascii="宋体" w:hAnsi="宋体"/>
                <w:sz w:val="18"/>
                <w:szCs w:val="18"/>
              </w:rPr>
            </w:pPr>
          </w:p>
        </w:tc>
        <w:tc>
          <w:tcPr>
            <w:tcW w:w="3127" w:type="pct"/>
            <w:tcBorders>
              <w:bottom w:val="single" w:color="auto" w:sz="4" w:space="0"/>
            </w:tcBorders>
            <w:vAlign w:val="center"/>
          </w:tcPr>
          <w:p>
            <w:pPr>
              <w:rPr>
                <w:rFonts w:ascii="宋体" w:hAnsi="宋体"/>
                <w:sz w:val="18"/>
                <w:szCs w:val="18"/>
              </w:rPr>
            </w:pPr>
            <w:r>
              <w:rPr>
                <w:rFonts w:hint="eastAsia" w:ascii="宋体" w:hAnsi="宋体"/>
                <w:sz w:val="18"/>
                <w:szCs w:val="18"/>
              </w:rPr>
              <w:t>活动要组织有序、目的明确，切实做好活动策划、活动安排、活动宣传等工作，确保活动顺利进行和良好影响，且活动影响广泛，同学能参与积极。</w:t>
            </w:r>
            <w:r>
              <w:rPr>
                <w:rFonts w:ascii="宋体" w:hAnsi="宋体"/>
                <w:sz w:val="18"/>
                <w:szCs w:val="18"/>
              </w:rPr>
              <w:t>5</w:t>
            </w:r>
            <w:r>
              <w:rPr>
                <w:rFonts w:hint="eastAsia" w:ascii="宋体" w:hAnsi="宋体"/>
                <w:sz w:val="18"/>
                <w:szCs w:val="18"/>
              </w:rPr>
              <w:t>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10" w:type="pct"/>
            <w:vMerge w:val="continue"/>
            <w:vAlign w:val="center"/>
          </w:tcPr>
          <w:p>
            <w:pPr>
              <w:ind w:left="538"/>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每次活动结束后能够及时总结活动成果，有完备的资料存档（包括策划总结活动过程的影音资料等）。3分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10" w:type="pct"/>
            <w:vMerge w:val="continue"/>
            <w:vAlign w:val="center"/>
          </w:tcPr>
          <w:p>
            <w:pPr>
              <w:ind w:left="538"/>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与班级沟通到位，做好与班委工作的衔接，学生会工作贴近广大同学，群众基础良好。3分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710" w:type="pct"/>
            <w:vMerge w:val="continue"/>
            <w:vAlign w:val="center"/>
          </w:tcPr>
          <w:p>
            <w:pPr>
              <w:ind w:left="538"/>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学生会是否重视日常工作，值班工作是否落实到位，有同学反馈意见是够得到解决。4分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10" w:type="pct"/>
            <w:vMerge w:val="continue"/>
            <w:vAlign w:val="center"/>
          </w:tcPr>
          <w:p>
            <w:pPr>
              <w:ind w:left="538"/>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cs="宋体"/>
                <w:sz w:val="18"/>
                <w:szCs w:val="18"/>
              </w:rPr>
              <w:t>围绕“打造创新型学生会”的目标，创新性开展一系列具有专业特色学院活动或专业比赛；</w:t>
            </w:r>
            <w:r>
              <w:rPr>
                <w:rFonts w:hint="eastAsia" w:ascii="宋体" w:hAnsi="宋体" w:cs="宋体"/>
                <w:bCs/>
                <w:kern w:val="0"/>
                <w:sz w:val="18"/>
                <w:szCs w:val="18"/>
              </w:rPr>
              <w:t>积极发动本学院师生参加校级“挑战杯”竞赛活动，切切实实跟进校级创新创业就业工作。4分</w:t>
            </w:r>
          </w:p>
        </w:tc>
        <w:tc>
          <w:tcPr>
            <w:tcW w:w="203" w:type="pct"/>
            <w:vAlign w:val="center"/>
          </w:tcPr>
          <w:p>
            <w:pPr>
              <w:jc w:val="center"/>
            </w:pPr>
          </w:p>
        </w:tc>
        <w:tc>
          <w:tcPr>
            <w:tcW w:w="203"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vAlign w:val="center"/>
          </w:tcPr>
          <w:p>
            <w:pPr>
              <w:jc w:val="center"/>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10" w:type="pct"/>
            <w:vMerge w:val="restart"/>
            <w:vAlign w:val="center"/>
          </w:tcPr>
          <w:p>
            <w:pPr>
              <w:ind w:left="538"/>
              <w:rPr>
                <w:rFonts w:ascii="宋体" w:hAnsi="宋体"/>
                <w:sz w:val="18"/>
                <w:szCs w:val="18"/>
              </w:rPr>
            </w:pPr>
            <w:r>
              <w:rPr>
                <w:rFonts w:hint="eastAsia" w:ascii="宋体" w:hAnsi="宋体"/>
                <w:sz w:val="18"/>
                <w:szCs w:val="18"/>
              </w:rPr>
              <w:t>服务同学</w:t>
            </w:r>
          </w:p>
          <w:p>
            <w:pPr>
              <w:ind w:left="538"/>
              <w:rPr>
                <w:rFonts w:ascii="宋体" w:hAnsi="宋体"/>
                <w:sz w:val="18"/>
                <w:szCs w:val="18"/>
              </w:rPr>
            </w:pPr>
            <w:r>
              <w:rPr>
                <w:rFonts w:hint="eastAsia" w:ascii="宋体" w:hAnsi="宋体"/>
                <w:sz w:val="18"/>
                <w:szCs w:val="18"/>
              </w:rPr>
              <w:t>（12分）</w:t>
            </w:r>
          </w:p>
        </w:tc>
        <w:tc>
          <w:tcPr>
            <w:tcW w:w="3127" w:type="pct"/>
            <w:tcBorders>
              <w:bottom w:val="single" w:color="auto" w:sz="4" w:space="0"/>
            </w:tcBorders>
            <w:vAlign w:val="center"/>
          </w:tcPr>
          <w:p>
            <w:pPr>
              <w:jc w:val="left"/>
              <w:rPr>
                <w:rFonts w:ascii="宋体" w:hAnsi="宋体"/>
                <w:sz w:val="18"/>
                <w:szCs w:val="18"/>
              </w:rPr>
            </w:pPr>
            <w:r>
              <w:rPr>
                <w:rFonts w:hint="eastAsia" w:ascii="宋体" w:hAnsi="宋体"/>
                <w:sz w:val="18"/>
                <w:szCs w:val="18"/>
              </w:rPr>
              <w:t>加强与各二级学院学生会的交流和沟通，互相学习，相互支持，更好的服务同学。5分</w:t>
            </w:r>
          </w:p>
        </w:tc>
        <w:tc>
          <w:tcPr>
            <w:tcW w:w="203" w:type="pct"/>
          </w:tcPr>
          <w:p/>
        </w:tc>
        <w:tc>
          <w:tcPr>
            <w:tcW w:w="203" w:type="pct"/>
          </w:tcPr>
          <w:p/>
        </w:tc>
        <w:tc>
          <w:tcPr>
            <w:tcW w:w="152" w:type="pct"/>
          </w:tcPr>
          <w:p/>
        </w:tc>
        <w:tc>
          <w:tcPr>
            <w:tcW w:w="152" w:type="pct"/>
          </w:tcPr>
          <w:p/>
        </w:tc>
        <w:tc>
          <w:tcPr>
            <w:tcW w:w="152" w:type="pct"/>
          </w:tcPr>
          <w:p/>
        </w:tc>
        <w:tc>
          <w:tcPr>
            <w:tcW w:w="152" w:type="pct"/>
          </w:tc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10" w:type="pct"/>
            <w:vMerge w:val="continue"/>
            <w:vAlign w:val="center"/>
          </w:tcPr>
          <w:p>
            <w:pPr>
              <w:ind w:left="538"/>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学生干部及干事对学生会工作的熟悉程度。3分</w:t>
            </w:r>
          </w:p>
        </w:tc>
        <w:tc>
          <w:tcPr>
            <w:tcW w:w="203" w:type="pct"/>
          </w:tcPr>
          <w:p/>
        </w:tc>
        <w:tc>
          <w:tcPr>
            <w:tcW w:w="203" w:type="pct"/>
          </w:tcPr>
          <w:p/>
        </w:tc>
        <w:tc>
          <w:tcPr>
            <w:tcW w:w="152" w:type="pct"/>
          </w:tcPr>
          <w:p/>
        </w:tc>
        <w:tc>
          <w:tcPr>
            <w:tcW w:w="152" w:type="pct"/>
          </w:tcPr>
          <w:p/>
        </w:tc>
        <w:tc>
          <w:tcPr>
            <w:tcW w:w="152" w:type="pct"/>
          </w:tcPr>
          <w:p/>
        </w:tc>
        <w:tc>
          <w:tcPr>
            <w:tcW w:w="152" w:type="pct"/>
          </w:tcPr>
          <w:p/>
        </w:tc>
        <w:tc>
          <w:tcPr>
            <w:tcW w:w="147"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710" w:type="pct"/>
            <w:vMerge w:val="continue"/>
            <w:vAlign w:val="center"/>
          </w:tcPr>
          <w:p>
            <w:pPr>
              <w:ind w:left="538"/>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学生对各二级学院学生会工作的满意程度。4分</w:t>
            </w:r>
          </w:p>
        </w:tc>
        <w:tc>
          <w:tcPr>
            <w:tcW w:w="203" w:type="pct"/>
          </w:tcPr>
          <w:p>
            <w:pPr>
              <w:widowControl/>
              <w:jc w:val="left"/>
            </w:pPr>
          </w:p>
        </w:tc>
        <w:tc>
          <w:tcPr>
            <w:tcW w:w="203" w:type="pct"/>
          </w:tcPr>
          <w:p>
            <w:pPr>
              <w:widowControl/>
              <w:jc w:val="left"/>
            </w:pPr>
          </w:p>
        </w:tc>
        <w:tc>
          <w:tcPr>
            <w:tcW w:w="152" w:type="pct"/>
          </w:tcPr>
          <w:p>
            <w:pPr>
              <w:widowControl/>
              <w:jc w:val="left"/>
            </w:pPr>
          </w:p>
        </w:tc>
        <w:tc>
          <w:tcPr>
            <w:tcW w:w="152" w:type="pct"/>
          </w:tcPr>
          <w:p>
            <w:pPr>
              <w:widowControl/>
              <w:jc w:val="left"/>
            </w:pPr>
          </w:p>
        </w:tc>
        <w:tc>
          <w:tcPr>
            <w:tcW w:w="152" w:type="pct"/>
          </w:tcPr>
          <w:p>
            <w:pPr>
              <w:widowControl/>
              <w:jc w:val="left"/>
            </w:pPr>
          </w:p>
        </w:tc>
        <w:tc>
          <w:tcPr>
            <w:tcW w:w="152" w:type="pct"/>
          </w:tcPr>
          <w:p>
            <w:pPr>
              <w:widowControl/>
              <w:jc w:val="left"/>
            </w:pPr>
          </w:p>
        </w:tc>
        <w:tc>
          <w:tcPr>
            <w:tcW w:w="147" w:type="pct"/>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710" w:type="pct"/>
            <w:vMerge w:val="restart"/>
            <w:vAlign w:val="center"/>
          </w:tcPr>
          <w:p>
            <w:pPr>
              <w:widowControl/>
              <w:jc w:val="center"/>
              <w:rPr>
                <w:rFonts w:ascii="宋体" w:hAnsi="宋体"/>
                <w:sz w:val="18"/>
                <w:szCs w:val="18"/>
              </w:rPr>
            </w:pPr>
            <w:r>
              <w:rPr>
                <w:rFonts w:hint="eastAsia" w:ascii="宋体" w:hAnsi="宋体"/>
                <w:sz w:val="18"/>
                <w:szCs w:val="18"/>
              </w:rPr>
              <w:t>评委提问</w:t>
            </w:r>
          </w:p>
          <w:p>
            <w:pPr>
              <w:jc w:val="center"/>
              <w:rPr>
                <w:rFonts w:ascii="宋体" w:hAnsi="宋体"/>
                <w:sz w:val="18"/>
                <w:szCs w:val="18"/>
              </w:rPr>
            </w:pPr>
            <w:r>
              <w:rPr>
                <w:rFonts w:hint="eastAsia" w:ascii="宋体" w:hAnsi="宋体"/>
                <w:sz w:val="18"/>
                <w:szCs w:val="18"/>
              </w:rPr>
              <w:t>（1</w:t>
            </w:r>
            <w:r>
              <w:rPr>
                <w:rFonts w:ascii="宋体" w:hAnsi="宋体"/>
                <w:sz w:val="18"/>
                <w:szCs w:val="18"/>
              </w:rPr>
              <w:t>0</w:t>
            </w:r>
            <w:r>
              <w:rPr>
                <w:rFonts w:hint="eastAsia" w:ascii="宋体" w:hAnsi="宋体"/>
                <w:sz w:val="18"/>
                <w:szCs w:val="18"/>
              </w:rPr>
              <w:t>分）</w:t>
            </w:r>
          </w:p>
        </w:tc>
        <w:tc>
          <w:tcPr>
            <w:tcW w:w="3127" w:type="pct"/>
            <w:vAlign w:val="center"/>
          </w:tcPr>
          <w:p>
            <w:pPr>
              <w:jc w:val="left"/>
              <w:rPr>
                <w:rFonts w:ascii="宋体" w:hAnsi="宋体"/>
                <w:sz w:val="18"/>
                <w:szCs w:val="18"/>
              </w:rPr>
            </w:pPr>
            <w:r>
              <w:rPr>
                <w:rFonts w:hint="eastAsia" w:ascii="宋体" w:hAnsi="宋体"/>
                <w:sz w:val="18"/>
                <w:szCs w:val="18"/>
              </w:rPr>
              <w:t>答辩人能都注意仪表，整洁大方举止从容端正、表述清晰流畅。</w:t>
            </w:r>
            <w:r>
              <w:rPr>
                <w:rFonts w:ascii="宋体" w:hAnsi="宋体"/>
                <w:sz w:val="18"/>
                <w:szCs w:val="18"/>
              </w:rPr>
              <w:t>1</w:t>
            </w:r>
            <w:r>
              <w:rPr>
                <w:rFonts w:hint="eastAsia" w:ascii="宋体" w:hAnsi="宋体"/>
                <w:sz w:val="18"/>
                <w:szCs w:val="18"/>
              </w:rPr>
              <w:t>分</w:t>
            </w:r>
          </w:p>
        </w:tc>
        <w:tc>
          <w:tcPr>
            <w:tcW w:w="203" w:type="pct"/>
          </w:tcPr>
          <w:p/>
        </w:tc>
        <w:tc>
          <w:tcPr>
            <w:tcW w:w="203" w:type="pct"/>
          </w:tcPr>
          <w:p/>
        </w:tc>
        <w:tc>
          <w:tcPr>
            <w:tcW w:w="152" w:type="pct"/>
          </w:tcPr>
          <w:p/>
        </w:tc>
        <w:tc>
          <w:tcPr>
            <w:tcW w:w="152" w:type="pct"/>
          </w:tcPr>
          <w:p/>
        </w:tc>
        <w:tc>
          <w:tcPr>
            <w:tcW w:w="152" w:type="pct"/>
          </w:tcPr>
          <w:p/>
        </w:tc>
        <w:tc>
          <w:tcPr>
            <w:tcW w:w="152" w:type="pct"/>
          </w:tcPr>
          <w:p/>
        </w:tc>
        <w:tc>
          <w:tcPr>
            <w:tcW w:w="147"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10" w:type="pct"/>
            <w:vMerge w:val="continue"/>
            <w:vAlign w:val="center"/>
          </w:tcPr>
          <w:p>
            <w:pPr>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该二级学院秘书长准备本年度学生会工作的ppt或视频，并进行讲解答辩陈述。2分</w:t>
            </w:r>
          </w:p>
        </w:tc>
        <w:tc>
          <w:tcPr>
            <w:tcW w:w="203" w:type="pct"/>
          </w:tcPr>
          <w:p/>
        </w:tc>
        <w:tc>
          <w:tcPr>
            <w:tcW w:w="203" w:type="pct"/>
          </w:tcPr>
          <w:p/>
        </w:tc>
        <w:tc>
          <w:tcPr>
            <w:tcW w:w="152" w:type="pct"/>
          </w:tcPr>
          <w:p/>
        </w:tc>
        <w:tc>
          <w:tcPr>
            <w:tcW w:w="152" w:type="pct"/>
          </w:tcPr>
          <w:p/>
        </w:tc>
        <w:tc>
          <w:tcPr>
            <w:tcW w:w="152" w:type="pct"/>
          </w:tcPr>
          <w:p/>
        </w:tc>
        <w:tc>
          <w:tcPr>
            <w:tcW w:w="152" w:type="pct"/>
          </w:tcPr>
          <w:p/>
        </w:tc>
        <w:tc>
          <w:tcPr>
            <w:tcW w:w="147"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10" w:type="pct"/>
            <w:vMerge w:val="continue"/>
            <w:vAlign w:val="center"/>
          </w:tcPr>
          <w:p>
            <w:pPr>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幻灯片或其他辅助资料制作精美、内容真实、准确，与答辩人员演说的内容协调一致在规定的时间内完成各二级学院活动的自我展示。</w:t>
            </w:r>
            <w:r>
              <w:rPr>
                <w:rFonts w:ascii="宋体" w:hAnsi="宋体"/>
                <w:sz w:val="18"/>
                <w:szCs w:val="18"/>
              </w:rPr>
              <w:t>3</w:t>
            </w:r>
            <w:r>
              <w:rPr>
                <w:rFonts w:hint="eastAsia" w:ascii="宋体" w:hAnsi="宋体"/>
                <w:sz w:val="18"/>
                <w:szCs w:val="18"/>
              </w:rPr>
              <w:t>分</w:t>
            </w:r>
          </w:p>
        </w:tc>
        <w:tc>
          <w:tcPr>
            <w:tcW w:w="203" w:type="pct"/>
          </w:tcPr>
          <w:p/>
        </w:tc>
        <w:tc>
          <w:tcPr>
            <w:tcW w:w="203" w:type="pct"/>
          </w:tcPr>
          <w:p/>
        </w:tc>
        <w:tc>
          <w:tcPr>
            <w:tcW w:w="152" w:type="pct"/>
          </w:tcPr>
          <w:p/>
        </w:tc>
        <w:tc>
          <w:tcPr>
            <w:tcW w:w="152" w:type="pct"/>
          </w:tcPr>
          <w:p/>
        </w:tc>
        <w:tc>
          <w:tcPr>
            <w:tcW w:w="152" w:type="pct"/>
          </w:tcPr>
          <w:p/>
        </w:tc>
        <w:tc>
          <w:tcPr>
            <w:tcW w:w="152" w:type="pct"/>
          </w:tcPr>
          <w:p/>
        </w:tc>
        <w:tc>
          <w:tcPr>
            <w:tcW w:w="147"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10" w:type="pct"/>
            <w:vMerge w:val="continue"/>
            <w:vAlign w:val="center"/>
          </w:tcPr>
          <w:p>
            <w:pPr>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能够正面回答评委所提问的问题，态度端正，尊重评委。</w:t>
            </w:r>
            <w:r>
              <w:rPr>
                <w:rFonts w:ascii="宋体" w:hAnsi="宋体"/>
                <w:sz w:val="18"/>
                <w:szCs w:val="18"/>
              </w:rPr>
              <w:t>2</w:t>
            </w:r>
            <w:r>
              <w:rPr>
                <w:rFonts w:hint="eastAsia" w:ascii="宋体" w:hAnsi="宋体"/>
                <w:sz w:val="18"/>
                <w:szCs w:val="18"/>
              </w:rPr>
              <w:t>分</w:t>
            </w:r>
          </w:p>
        </w:tc>
        <w:tc>
          <w:tcPr>
            <w:tcW w:w="203" w:type="pct"/>
          </w:tcPr>
          <w:p/>
        </w:tc>
        <w:tc>
          <w:tcPr>
            <w:tcW w:w="203" w:type="pct"/>
          </w:tcPr>
          <w:p/>
        </w:tc>
        <w:tc>
          <w:tcPr>
            <w:tcW w:w="152" w:type="pct"/>
          </w:tcPr>
          <w:p/>
        </w:tc>
        <w:tc>
          <w:tcPr>
            <w:tcW w:w="152" w:type="pct"/>
          </w:tcPr>
          <w:p/>
        </w:tc>
        <w:tc>
          <w:tcPr>
            <w:tcW w:w="152" w:type="pct"/>
          </w:tcPr>
          <w:p/>
        </w:tc>
        <w:tc>
          <w:tcPr>
            <w:tcW w:w="152" w:type="pct"/>
          </w:tcPr>
          <w:p/>
        </w:tc>
        <w:tc>
          <w:tcPr>
            <w:tcW w:w="147" w:type="pct"/>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10" w:type="pct"/>
            <w:vMerge w:val="continue"/>
            <w:vAlign w:val="center"/>
          </w:tcPr>
          <w:p>
            <w:pPr>
              <w:jc w:val="center"/>
              <w:rPr>
                <w:rFonts w:ascii="宋体" w:hAnsi="宋体"/>
                <w:sz w:val="18"/>
                <w:szCs w:val="18"/>
              </w:rPr>
            </w:pPr>
          </w:p>
        </w:tc>
        <w:tc>
          <w:tcPr>
            <w:tcW w:w="3127" w:type="pct"/>
            <w:vAlign w:val="center"/>
          </w:tcPr>
          <w:p>
            <w:pPr>
              <w:jc w:val="left"/>
              <w:rPr>
                <w:rFonts w:ascii="宋体" w:hAnsi="宋体"/>
                <w:sz w:val="18"/>
                <w:szCs w:val="18"/>
              </w:rPr>
            </w:pPr>
            <w:r>
              <w:rPr>
                <w:rFonts w:hint="eastAsia" w:ascii="宋体" w:hAnsi="宋体"/>
                <w:sz w:val="18"/>
                <w:szCs w:val="18"/>
              </w:rPr>
              <w:t>回答问题</w:t>
            </w:r>
            <w:r>
              <w:rPr>
                <w:rFonts w:ascii="宋体" w:hAnsi="宋体"/>
                <w:sz w:val="18"/>
                <w:szCs w:val="18"/>
              </w:rPr>
              <w:t>时</w:t>
            </w:r>
            <w:r>
              <w:rPr>
                <w:rFonts w:hint="eastAsia" w:ascii="宋体" w:hAnsi="宋体"/>
                <w:sz w:val="18"/>
                <w:szCs w:val="18"/>
              </w:rPr>
              <w:t>，条理清晰，表达顺畅。</w:t>
            </w:r>
            <w:r>
              <w:rPr>
                <w:rFonts w:ascii="宋体" w:hAnsi="宋体"/>
                <w:sz w:val="18"/>
                <w:szCs w:val="18"/>
              </w:rPr>
              <w:t>2</w:t>
            </w:r>
            <w:r>
              <w:rPr>
                <w:rFonts w:hint="eastAsia" w:ascii="宋体" w:hAnsi="宋体"/>
                <w:sz w:val="18"/>
                <w:szCs w:val="18"/>
              </w:rPr>
              <w:t>分</w:t>
            </w:r>
          </w:p>
        </w:tc>
        <w:tc>
          <w:tcPr>
            <w:tcW w:w="203" w:type="pct"/>
          </w:tcPr>
          <w:p/>
        </w:tc>
        <w:tc>
          <w:tcPr>
            <w:tcW w:w="203" w:type="pct"/>
          </w:tcPr>
          <w:p/>
        </w:tc>
        <w:tc>
          <w:tcPr>
            <w:tcW w:w="152" w:type="pct"/>
          </w:tcPr>
          <w:p/>
        </w:tc>
        <w:tc>
          <w:tcPr>
            <w:tcW w:w="152" w:type="pct"/>
          </w:tcPr>
          <w:p/>
        </w:tc>
        <w:tc>
          <w:tcPr>
            <w:tcW w:w="152" w:type="pct"/>
          </w:tcPr>
          <w:p/>
        </w:tc>
        <w:tc>
          <w:tcPr>
            <w:tcW w:w="152" w:type="pct"/>
          </w:tcPr>
          <w:p/>
        </w:tc>
        <w:tc>
          <w:tcPr>
            <w:tcW w:w="147" w:type="pct"/>
          </w:tcPr>
          <w:p/>
        </w:tc>
      </w:tr>
    </w:tbl>
    <w:p>
      <w:bookmarkStart w:id="0" w:name="_GoBack"/>
      <w:bookmarkEnd w:id="0"/>
    </w:p>
    <w:sectPr>
      <w:pgSz w:w="16838" w:h="11906" w:orient="landscape"/>
      <w:pgMar w:top="1180" w:right="1440" w:bottom="106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90623"/>
    <w:rsid w:val="60390623"/>
    <w:rsid w:val="7ED57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2022-04-20T09:08:00Z</dcterms:created>
  <dc:creator>沫葵</dc:creator>
  <cp:lastModifiedBy>沫葵</cp:lastModifiedBy>
  <dcterms:modified xsi:type="dcterms:W3CDTF">2022-04-20T09:20:50Z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424F4FFEF54B41D5AA7D249C68D278A9</vt:lpwstr>
  </property>
</Properties>
</file>