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仿宋_GB2312" w:eastAsia="仿宋_GB2312"/>
          <w:sz w:val="32"/>
          <w:szCs w:val="32"/>
        </w:rPr>
      </w:pPr>
      <w:bookmarkStart w:id="0" w:name="_GoBack"/>
      <w:bookmarkEnd w:id="0"/>
      <w:r>
        <w:rPr>
          <w:rFonts w:hint="eastAsia" w:ascii="仿宋_GB2312" w:eastAsia="仿宋_GB2312"/>
          <w:sz w:val="32"/>
          <w:szCs w:val="32"/>
        </w:rPr>
        <w:t>穗科贸党〔2018〕8号</w:t>
      </w:r>
    </w:p>
    <w:p>
      <w:pPr>
        <w:spacing w:line="540" w:lineRule="exact"/>
        <w:jc w:val="center"/>
        <w:rPr>
          <w:rFonts w:hint="eastAsia"/>
          <w:sz w:val="28"/>
          <w:szCs w:val="28"/>
        </w:rPr>
      </w:pPr>
    </w:p>
    <w:p>
      <w:pPr>
        <w:spacing w:line="640" w:lineRule="exact"/>
        <w:rPr>
          <w:rFonts w:hint="eastAsia" w:ascii="宋体" w:hAnsi="宋体"/>
          <w:b/>
          <w:sz w:val="44"/>
          <w:szCs w:val="44"/>
        </w:rPr>
      </w:pPr>
    </w:p>
    <w:p>
      <w:pPr>
        <w:spacing w:line="68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中共广州科技贸易职业学院委员会关于</w:t>
      </w:r>
    </w:p>
    <w:p>
      <w:pPr>
        <w:spacing w:line="68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印发理论学习中心组学习办法的通知</w:t>
      </w:r>
    </w:p>
    <w:p>
      <w:pPr>
        <w:spacing w:line="560" w:lineRule="exact"/>
        <w:rPr>
          <w:rFonts w:hint="eastAsia"/>
          <w:b/>
          <w:sz w:val="44"/>
          <w:szCs w:val="44"/>
        </w:rPr>
      </w:pPr>
      <w:r>
        <w:rPr>
          <w:rFonts w:hint="eastAsia"/>
          <w:b/>
          <w:sz w:val="44"/>
          <w:szCs w:val="44"/>
        </w:rPr>
        <w:t xml:space="preserve">            </w:t>
      </w:r>
    </w:p>
    <w:p>
      <w:pPr>
        <w:spacing w:line="560" w:lineRule="exact"/>
        <w:rPr>
          <w:rFonts w:hint="eastAsia" w:ascii="仿宋_GB2312" w:eastAsia="仿宋_GB2312"/>
          <w:sz w:val="32"/>
          <w:szCs w:val="32"/>
        </w:rPr>
      </w:pPr>
      <w:r>
        <w:rPr>
          <w:rFonts w:hint="eastAsia" w:ascii="仿宋_GB2312" w:eastAsia="仿宋_GB2312"/>
          <w:sz w:val="32"/>
          <w:szCs w:val="32"/>
        </w:rPr>
        <w:t>各党（总）支部：</w:t>
      </w:r>
    </w:p>
    <w:p>
      <w:pPr>
        <w:spacing w:line="680" w:lineRule="exact"/>
        <w:ind w:firstLine="624" w:firstLineChars="200"/>
        <w:rPr>
          <w:rFonts w:hint="eastAsia" w:ascii="仿宋_GB2312" w:eastAsia="仿宋_GB2312"/>
          <w:sz w:val="32"/>
          <w:szCs w:val="32"/>
        </w:rPr>
      </w:pPr>
      <w:r>
        <w:rPr>
          <w:rFonts w:hint="eastAsia" w:ascii="仿宋_GB2312" w:eastAsia="仿宋_GB2312"/>
          <w:spacing w:val="-4"/>
          <w:sz w:val="32"/>
          <w:szCs w:val="32"/>
        </w:rPr>
        <w:t>现将《中共广州科技贸易职业学院委员会理论学习中心组</w:t>
      </w:r>
      <w:r>
        <w:rPr>
          <w:rFonts w:hint="eastAsia" w:ascii="仿宋_GB2312" w:eastAsia="仿宋_GB2312"/>
          <w:sz w:val="32"/>
          <w:szCs w:val="32"/>
        </w:rPr>
        <w:t>学习办法》印发给你们，请遵照执行。</w:t>
      </w:r>
    </w:p>
    <w:p>
      <w:pPr>
        <w:spacing w:line="560" w:lineRule="exact"/>
        <w:ind w:firstLine="645"/>
        <w:rPr>
          <w:rFonts w:hint="eastAsia" w:ascii="仿宋_GB2312" w:eastAsia="仿宋_GB2312"/>
          <w:sz w:val="32"/>
          <w:szCs w:val="32"/>
        </w:rPr>
      </w:pPr>
    </w:p>
    <w:p>
      <w:pPr>
        <w:spacing w:line="600" w:lineRule="exact"/>
        <w:ind w:firstLine="645"/>
        <w:rPr>
          <w:rFonts w:hint="eastAsia" w:ascii="仿宋_GB2312" w:eastAsia="仿宋_GB2312"/>
          <w:sz w:val="32"/>
          <w:szCs w:val="32"/>
        </w:rPr>
      </w:pPr>
    </w:p>
    <w:p>
      <w:pPr>
        <w:spacing w:line="600" w:lineRule="exact"/>
        <w:ind w:firstLine="645"/>
        <w:rPr>
          <w:rFonts w:hint="eastAsia" w:ascii="仿宋_GB2312" w:eastAsia="仿宋_GB2312"/>
          <w:sz w:val="32"/>
          <w:szCs w:val="32"/>
        </w:rPr>
      </w:pPr>
    </w:p>
    <w:p>
      <w:pPr>
        <w:spacing w:line="600" w:lineRule="exact"/>
        <w:ind w:firstLine="645"/>
        <w:rPr>
          <w:rFonts w:hint="eastAsia" w:ascii="仿宋_GB2312" w:eastAsia="仿宋_GB2312"/>
          <w:sz w:val="32"/>
          <w:szCs w:val="32"/>
        </w:rPr>
      </w:pPr>
      <w:r>
        <w:rPr>
          <w:rFonts w:hint="eastAsia" w:ascii="仿宋_GB2312" w:eastAsia="仿宋_GB2312"/>
          <w:sz w:val="32"/>
          <w:szCs w:val="32"/>
        </w:rPr>
        <w:t xml:space="preserve">              中共广州科技贸易职业学院委员会</w:t>
      </w:r>
    </w:p>
    <w:p>
      <w:pPr>
        <w:spacing w:line="600" w:lineRule="exact"/>
        <w:ind w:firstLine="4160" w:firstLineChars="1300"/>
        <w:rPr>
          <w:rFonts w:ascii="仿宋_GB2312" w:eastAsia="仿宋_GB2312"/>
          <w:sz w:val="32"/>
          <w:szCs w:val="32"/>
        </w:rPr>
        <w:sectPr>
          <w:footerReference r:id="rId3" w:type="default"/>
          <w:footerReference r:id="rId4" w:type="even"/>
          <w:pgSz w:w="11906" w:h="16838"/>
          <w:pgMar w:top="5160" w:right="1797" w:bottom="1440" w:left="1797" w:header="851" w:footer="992" w:gutter="0"/>
          <w:pgNumType w:fmt="numberInDash"/>
          <w:cols w:space="425" w:num="1"/>
          <w:docGrid w:linePitch="312" w:charSpace="0"/>
        </w:sectPr>
      </w:pPr>
      <w:r>
        <w:rPr>
          <w:rFonts w:hint="eastAsia" w:ascii="仿宋_GB2312" w:eastAsia="仿宋_GB2312"/>
          <w:sz w:val="32"/>
          <w:szCs w:val="32"/>
        </w:rPr>
        <w:t>2018年1月17日</w:t>
      </w:r>
    </w:p>
    <w:p>
      <w:pPr>
        <w:spacing w:line="680" w:lineRule="exact"/>
        <w:jc w:val="center"/>
        <w:rPr>
          <w:rFonts w:hint="eastAsia" w:ascii="宋体" w:hAnsi="宋体" w:cs="宋体"/>
          <w:b/>
          <w:kern w:val="0"/>
          <w:sz w:val="44"/>
          <w:szCs w:val="44"/>
          <w:lang w:val="zh-CN"/>
        </w:rPr>
      </w:pPr>
    </w:p>
    <w:p>
      <w:pPr>
        <w:spacing w:line="68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中共广州科技贸易职业学院委员会</w:t>
      </w:r>
    </w:p>
    <w:p>
      <w:pPr>
        <w:spacing w:line="68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理论学习中心组学习办法</w:t>
      </w:r>
    </w:p>
    <w:p>
      <w:pPr>
        <w:spacing w:line="680" w:lineRule="exact"/>
        <w:jc w:val="center"/>
        <w:rPr>
          <w:rFonts w:ascii="宋体" w:hAnsi="宋体"/>
          <w:sz w:val="44"/>
          <w:szCs w:val="44"/>
        </w:rPr>
      </w:pPr>
    </w:p>
    <w:p>
      <w:pPr>
        <w:spacing w:line="540" w:lineRule="exact"/>
        <w:jc w:val="center"/>
        <w:rPr>
          <w:rFonts w:ascii="宋体" w:hAnsi="宋体"/>
          <w:b/>
          <w:sz w:val="32"/>
          <w:szCs w:val="32"/>
        </w:rPr>
      </w:pPr>
      <w:r>
        <w:rPr>
          <w:rFonts w:hint="eastAsia" w:ascii="宋体" w:hAnsi="宋体"/>
          <w:b/>
          <w:sz w:val="32"/>
          <w:szCs w:val="32"/>
        </w:rPr>
        <w:t>第一章 总 则</w:t>
      </w:r>
    </w:p>
    <w:p>
      <w:pPr>
        <w:spacing w:line="540" w:lineRule="exact"/>
        <w:ind w:firstLine="640" w:firstLineChars="200"/>
        <w:rPr>
          <w:rFonts w:hint="eastAsia" w:ascii="仿宋_GB2312" w:hAnsi="仿宋" w:eastAsia="仿宋_GB2312"/>
          <w:sz w:val="32"/>
          <w:szCs w:val="32"/>
        </w:rPr>
      </w:pP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第一条</w:t>
      </w:r>
      <w:r>
        <w:rPr>
          <w:rFonts w:hint="eastAsia" w:ascii="仿宋_GB2312" w:hAnsi="仿宋" w:eastAsia="仿宋_GB2312"/>
          <w:color w:val="000000"/>
          <w:sz w:val="32"/>
          <w:szCs w:val="32"/>
        </w:rPr>
        <w:t xml:space="preserve"> 为进一步推进学院党委理论学习中心组( 以下简称“中心组”) 学习制度化、规范化，推动理论武装工作深入开展，提高领导干部的理论水平和工作能力，加强领导班子思想政治建设，根据《广州市科协党组理论学习中心组学习办法》等党内法规，结合我院实际，制定本办法。</w:t>
      </w: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第二条</w:t>
      </w:r>
      <w:r>
        <w:rPr>
          <w:rFonts w:hint="eastAsia" w:ascii="仿宋_GB2312" w:hAnsi="仿宋" w:eastAsia="仿宋_GB2312"/>
          <w:color w:val="000000"/>
          <w:sz w:val="32"/>
          <w:szCs w:val="32"/>
        </w:rPr>
        <w:t xml:space="preserve"> 中心组学习，是我院领导班子和领导干部在职理论学习的重要组织形式，是严肃党内政治生活、强化党性修养的重要内容，是加强学院领导班子思想政治建设的重要制度，是提高学院领导班子的执政能力和领导水平的重要途径，是保持和增强“政治性、先进性”、建设“学习型、服务型、创新型”学院的重要保障。</w:t>
      </w: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第三条</w:t>
      </w:r>
      <w:r>
        <w:rPr>
          <w:rFonts w:hint="eastAsia" w:ascii="仿宋_GB2312" w:hAnsi="仿宋" w:eastAsia="仿宋_GB2312"/>
          <w:color w:val="000000"/>
          <w:sz w:val="32"/>
          <w:szCs w:val="32"/>
        </w:rPr>
        <w:t xml:space="preserve"> 中心组学习应当列入党委重要议事日程，纳入党建工作责任制，纳入意识形态工作责任制。</w:t>
      </w:r>
    </w:p>
    <w:p>
      <w:pPr>
        <w:spacing w:line="53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第四条</w:t>
      </w:r>
      <w:r>
        <w:rPr>
          <w:rFonts w:hint="eastAsia" w:ascii="仿宋_GB2312" w:hAnsi="仿宋" w:eastAsia="仿宋_GB2312"/>
          <w:color w:val="000000"/>
          <w:sz w:val="32"/>
          <w:szCs w:val="32"/>
        </w:rPr>
        <w:t xml:space="preserve"> 中心组学习以政治学习为根本，以深入学习习近平新时代中国特色社会主义思想为首要任务，以深入学习贯彻习近平总书记系列重要讲话精神和治国理政新理念新思想新战略为重点，以掌握和运用马克思主义立场、观点、方法为目的，以“四个坚持，三个支撑、两个走在前列”为统领，结合习近平总书记在参加广东代表团审议时提出的“四个走在全国前列”的内容，坚持围绕中心、服务大局，</w:t>
      </w:r>
      <w:r>
        <w:rPr>
          <w:rFonts w:hint="eastAsia" w:ascii="仿宋_GB2312" w:hAnsi="仿宋" w:eastAsia="仿宋_GB2312"/>
          <w:color w:val="000000"/>
          <w:spacing w:val="-20"/>
          <w:sz w:val="32"/>
          <w:szCs w:val="32"/>
        </w:rPr>
        <w:t>坚持知</w:t>
      </w:r>
      <w:r>
        <w:rPr>
          <w:rFonts w:hint="eastAsia" w:ascii="仿宋_GB2312" w:hAnsi="仿宋" w:eastAsia="仿宋_GB2312"/>
          <w:color w:val="000000"/>
          <w:sz w:val="32"/>
          <w:szCs w:val="32"/>
        </w:rPr>
        <w:t>行合一、学以致用，坚持问题导向、注重实效，坚持依规管理、从严治学。</w:t>
      </w:r>
    </w:p>
    <w:p>
      <w:pPr>
        <w:spacing w:line="530" w:lineRule="exact"/>
        <w:ind w:firstLine="640" w:firstLineChars="200"/>
        <w:rPr>
          <w:rFonts w:hint="eastAsia" w:ascii="仿宋_GB2312" w:hAnsi="仿宋" w:eastAsia="仿宋_GB2312"/>
          <w:color w:val="000000"/>
          <w:sz w:val="32"/>
          <w:szCs w:val="32"/>
        </w:rPr>
      </w:pPr>
    </w:p>
    <w:p>
      <w:pPr>
        <w:spacing w:line="530" w:lineRule="exact"/>
        <w:jc w:val="center"/>
        <w:rPr>
          <w:rFonts w:hint="eastAsia" w:ascii="宋体" w:hAnsi="宋体"/>
          <w:b/>
          <w:color w:val="000000"/>
          <w:sz w:val="32"/>
          <w:szCs w:val="32"/>
        </w:rPr>
      </w:pPr>
      <w:r>
        <w:rPr>
          <w:rFonts w:hint="eastAsia" w:ascii="宋体" w:hAnsi="宋体"/>
          <w:b/>
          <w:color w:val="000000"/>
          <w:sz w:val="32"/>
          <w:szCs w:val="32"/>
        </w:rPr>
        <w:t>第二章 组织与职责</w:t>
      </w:r>
    </w:p>
    <w:p>
      <w:pPr>
        <w:spacing w:line="530" w:lineRule="exact"/>
        <w:ind w:firstLine="643" w:firstLineChars="200"/>
        <w:jc w:val="center"/>
        <w:rPr>
          <w:rFonts w:hint="eastAsia" w:ascii="仿宋_GB2312" w:hAnsi="仿宋" w:eastAsia="仿宋_GB2312"/>
          <w:b/>
          <w:color w:val="000000"/>
          <w:sz w:val="32"/>
          <w:szCs w:val="32"/>
        </w:rPr>
      </w:pPr>
    </w:p>
    <w:p>
      <w:pPr>
        <w:spacing w:line="53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第五条</w:t>
      </w:r>
      <w:r>
        <w:rPr>
          <w:rFonts w:hint="eastAsia" w:ascii="仿宋_GB2312" w:hAnsi="仿宋" w:eastAsia="仿宋_GB2312"/>
          <w:color w:val="000000"/>
          <w:sz w:val="32"/>
          <w:szCs w:val="32"/>
        </w:rPr>
        <w:t xml:space="preserve"> 中心组主要由学院党委班子成员组成，可以根据学习需要适当扩大参学范围。</w:t>
      </w:r>
    </w:p>
    <w:p>
      <w:pPr>
        <w:spacing w:line="53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第六条</w:t>
      </w:r>
      <w:r>
        <w:rPr>
          <w:rFonts w:hint="eastAsia" w:ascii="仿宋_GB2312" w:hAnsi="仿宋" w:eastAsia="仿宋_GB2312"/>
          <w:color w:val="000000"/>
          <w:sz w:val="32"/>
          <w:szCs w:val="32"/>
        </w:rPr>
        <w:t xml:space="preserve"> 中心组每年年初按照上级部署要求，结合工作实际，制定年度中心组学习计划，明确当年的学习主题、学习内容、学习重点、学习时间、组织方式等事项。</w:t>
      </w:r>
    </w:p>
    <w:p>
      <w:pPr>
        <w:spacing w:line="53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根据党和国家、省委、市委、市科协新的重大部署，适时对学习计划进行补充和调整，作出阶段性学习安排和专题学习计划。</w:t>
      </w:r>
    </w:p>
    <w:p>
      <w:pPr>
        <w:spacing w:line="53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第七条</w:t>
      </w:r>
      <w:r>
        <w:rPr>
          <w:rFonts w:hint="eastAsia" w:ascii="仿宋_GB2312" w:hAnsi="仿宋" w:eastAsia="仿宋_GB2312"/>
          <w:color w:val="000000"/>
          <w:sz w:val="32"/>
          <w:szCs w:val="32"/>
        </w:rPr>
        <w:t xml:space="preserve"> 党委书记是中心组学习第一责任人，主要职责是审定学习计划、确定学习主题和研讨专题、提出学习要求、主持集体学习研讨、指导和检查中心组成员的学习情况。书记不能参加学习时，由主持党委日常工作的负责人代行职责。</w:t>
      </w:r>
    </w:p>
    <w:p>
      <w:pPr>
        <w:spacing w:line="53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党委负责宣传工作的成员是中心组学习直接责任人，主要职责是配合党委书记做好学习的组织工作。</w:t>
      </w:r>
    </w:p>
    <w:p>
      <w:pPr>
        <w:spacing w:line="53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中心组其他成员应当积极参加学习，自觉遵守中心组学习制度，按照学习安排或者受委派承担相应职责。</w:t>
      </w: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第八条</w:t>
      </w:r>
      <w:r>
        <w:rPr>
          <w:rFonts w:hint="eastAsia" w:ascii="仿宋_GB2312" w:hAnsi="仿宋" w:eastAsia="仿宋_GB2312"/>
          <w:color w:val="000000"/>
          <w:sz w:val="32"/>
          <w:szCs w:val="32"/>
        </w:rPr>
        <w:t xml:space="preserve"> 中心组配备学习秘书，由办公室负责中心组学</w:t>
      </w:r>
      <w:r>
        <w:rPr>
          <w:rFonts w:hint="eastAsia" w:ascii="仿宋_GB2312" w:hAnsi="仿宋" w:eastAsia="仿宋_GB2312"/>
          <w:color w:val="000000"/>
          <w:spacing w:val="-4"/>
          <w:sz w:val="32"/>
          <w:szCs w:val="32"/>
        </w:rPr>
        <w:t>习的人员担任，学习秘书主要职责是负责制定学习计划、落实</w:t>
      </w:r>
      <w:r>
        <w:rPr>
          <w:rFonts w:hint="eastAsia" w:ascii="仿宋_GB2312" w:hAnsi="仿宋" w:eastAsia="仿宋_GB2312"/>
          <w:color w:val="000000"/>
          <w:sz w:val="32"/>
          <w:szCs w:val="32"/>
        </w:rPr>
        <w:t>党委书记的学习要求，收集整理编印学习资料、组织中心组学习或扩大学习会议，做好学习情况宣传报道、季度学习情况填报和报送等工作。</w:t>
      </w:r>
    </w:p>
    <w:p>
      <w:pPr>
        <w:spacing w:line="540" w:lineRule="exact"/>
        <w:ind w:firstLine="640" w:firstLineChars="200"/>
        <w:rPr>
          <w:rFonts w:hint="eastAsia" w:ascii="仿宋_GB2312" w:hAnsi="仿宋" w:eastAsia="仿宋_GB2312"/>
          <w:color w:val="000000"/>
          <w:sz w:val="32"/>
          <w:szCs w:val="32"/>
        </w:rPr>
      </w:pPr>
    </w:p>
    <w:p>
      <w:pPr>
        <w:spacing w:line="540" w:lineRule="exact"/>
        <w:jc w:val="center"/>
        <w:rPr>
          <w:rFonts w:hint="eastAsia" w:ascii="宋体" w:hAnsi="宋体"/>
          <w:b/>
          <w:color w:val="000000"/>
          <w:sz w:val="32"/>
          <w:szCs w:val="32"/>
        </w:rPr>
      </w:pPr>
      <w:r>
        <w:rPr>
          <w:rFonts w:hint="eastAsia" w:ascii="宋体" w:hAnsi="宋体"/>
          <w:b/>
          <w:color w:val="000000"/>
          <w:sz w:val="32"/>
          <w:szCs w:val="32"/>
        </w:rPr>
        <w:t>第三章 学习内容、形式与要求</w:t>
      </w:r>
    </w:p>
    <w:p>
      <w:pPr>
        <w:spacing w:line="540" w:lineRule="exact"/>
        <w:ind w:firstLine="643" w:firstLineChars="200"/>
        <w:jc w:val="center"/>
        <w:rPr>
          <w:rFonts w:hint="eastAsia" w:ascii="仿宋_GB2312" w:hAnsi="仿宋" w:eastAsia="仿宋_GB2312"/>
          <w:b/>
          <w:color w:val="000000"/>
          <w:sz w:val="32"/>
          <w:szCs w:val="32"/>
        </w:rPr>
      </w:pP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第九条</w:t>
      </w:r>
      <w:r>
        <w:rPr>
          <w:rFonts w:hint="eastAsia" w:ascii="仿宋_GB2312" w:hAnsi="仿宋" w:eastAsia="仿宋_GB2312"/>
          <w:color w:val="000000"/>
          <w:sz w:val="32"/>
          <w:szCs w:val="32"/>
        </w:rPr>
        <w:t xml:space="preserve"> 中心组学习内容包括:</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(一)马克思列宁主义、毛泽东思想、邓小平理论、“三个代表”重要思想、科学发展观、习近平新时代中国特色社会主义思想。</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(二)党的十九大精神，习近平总书记系列重要讲话和治国理政新理念新思想新战略、习近平总书记对广东工作的重要批示精神。</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(三)党的路线、方针、政策和决议，党章、党规、党纪和党的基本知识。</w:t>
      </w:r>
    </w:p>
    <w:p>
      <w:pPr>
        <w:spacing w:line="540" w:lineRule="exact"/>
        <w:ind w:firstLine="640" w:firstLineChars="200"/>
        <w:rPr>
          <w:rFonts w:hint="eastAsia" w:ascii="仿宋_GB2312" w:hAnsi="仿宋" w:eastAsia="仿宋_GB2312"/>
          <w:color w:val="000000"/>
          <w:spacing w:val="-16"/>
          <w:sz w:val="32"/>
          <w:szCs w:val="32"/>
        </w:rPr>
      </w:pPr>
      <w:r>
        <w:rPr>
          <w:rFonts w:hint="eastAsia" w:ascii="仿宋_GB2312" w:hAnsi="仿宋" w:eastAsia="仿宋_GB2312"/>
          <w:color w:val="000000"/>
          <w:sz w:val="32"/>
          <w:szCs w:val="32"/>
        </w:rPr>
        <w:t>(四)</w:t>
      </w:r>
      <w:r>
        <w:rPr>
          <w:rFonts w:hint="eastAsia" w:ascii="仿宋_GB2312" w:hAnsi="仿宋" w:eastAsia="仿宋_GB2312"/>
          <w:color w:val="000000"/>
          <w:spacing w:val="-16"/>
          <w:sz w:val="32"/>
          <w:szCs w:val="32"/>
        </w:rPr>
        <w:t>党的历史、中国历史、世界历史和科学社会主义发展史。</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(五)社会主义核心价值观。</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(六)国家法律法规。</w:t>
      </w:r>
    </w:p>
    <w:p>
      <w:pPr>
        <w:spacing w:line="540" w:lineRule="exact"/>
        <w:ind w:firstLine="640" w:firstLineChars="200"/>
        <w:rPr>
          <w:rFonts w:hint="eastAsia" w:ascii="仿宋_GB2312" w:hAnsi="仿宋" w:eastAsia="仿宋_GB2312"/>
          <w:color w:val="000000"/>
          <w:spacing w:val="-10"/>
          <w:sz w:val="32"/>
          <w:szCs w:val="32"/>
        </w:rPr>
      </w:pPr>
      <w:r>
        <w:rPr>
          <w:rFonts w:hint="eastAsia" w:ascii="仿宋_GB2312" w:hAnsi="仿宋" w:eastAsia="仿宋_GB2312"/>
          <w:color w:val="000000"/>
          <w:sz w:val="32"/>
          <w:szCs w:val="32"/>
        </w:rPr>
        <w:t>(七)</w:t>
      </w:r>
      <w:r>
        <w:rPr>
          <w:rFonts w:hint="eastAsia" w:ascii="仿宋_GB2312" w:hAnsi="仿宋" w:eastAsia="仿宋_GB2312"/>
          <w:color w:val="000000"/>
          <w:spacing w:val="-10"/>
          <w:sz w:val="32"/>
          <w:szCs w:val="32"/>
        </w:rPr>
        <w:t>推进中国特色社会主义事业所需要的经济、政治、文化、社会、生态、科技、军事、外交、民族、宗教等方面的知识。</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(八)改革发展实践中的重点、难点问题。</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(九)省委、省政府和市委、市政府的重大决策部署以及重要会议精神。</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(十)中央、省委、市委群团改革工作会议精神。</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(十一)上级党组织要求学习的其他重要内容。</w:t>
      </w: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第十条</w:t>
      </w:r>
      <w:r>
        <w:rPr>
          <w:rFonts w:hint="eastAsia" w:ascii="仿宋_GB2312" w:hAnsi="仿宋" w:eastAsia="仿宋_GB2312"/>
          <w:color w:val="000000"/>
          <w:sz w:val="32"/>
          <w:szCs w:val="32"/>
        </w:rPr>
        <w:t xml:space="preserve"> 中心组可以通过以下适当形式，开展切实有效的学习活动:</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一)集体学习研讨。中心组应当将集体学习研讨作为学习的主要形式，把重点发言和集体研讨、专题学习和系统学习结合起来，深入开展学习讨论和互动交流。中心组学习以中心组成员自己学、自己讲为主，并借助网络学习平台、新媒体技术等开展视频学习。</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(二)个人自学。中心组成员应当根据形势任务的要求，结合工作需要和本人实际，明确学习重点，研读必要书目，下功夫刻苦学习，做到有计划、有步骤、有措施、有落实。</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三)宣讲辅导。中心组可以根据专题学习的需要，有针对性地邀请省委、市委宣传部讲师团或党校、高校专家学者，开展专题讲座，宣讲辅导报告会。中心组成员应当积极参加学习讲坛、读书会、报告会等学习活动。</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四)学习调研。中心组成员应当把理论学习与考察见学、专题调研结合起来，围绕学习主题，组织灵活多样的集中外出考察、见学，以开阔视野、增长见识、启迪思维、促进学习;围绕学院和分管部门，分管部门改革发展面临的突出问题，深入基层，深入群众，扎实开展调查研究，达到学经验、找差距、谋发展、求转变的目的。考察见学、专题调研可以由党委统一组织，也可结合分管工作自行开展。</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中心组应当不断创新学习方式，改进学习方法，增强学习的吸引力、针对性和实效性。</w:t>
      </w: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第十一条</w:t>
      </w:r>
      <w:r>
        <w:rPr>
          <w:rFonts w:hint="eastAsia" w:ascii="仿宋_GB2312" w:hAnsi="仿宋" w:eastAsia="仿宋_GB2312"/>
          <w:color w:val="000000"/>
          <w:sz w:val="32"/>
          <w:szCs w:val="32"/>
        </w:rPr>
        <w:t xml:space="preserve"> 中心组学习的具体要求包括:</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中心组应当坚持把学习马克思主义理论作为做好一切工作的看家本领，把学习党的基本理论与学习党的理论创新成果结合起来，把握精神实质，掌握精髓要义，做到真学、真懂、真信、真用。</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坚持学以立德、学以修身、学以益智、学以增才，把提高理论素质与增强党性修养、提升工作本领结合起来，坚定理想信念，加强党性锻炼，提高精神境界。</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大力弘扬理论联系实际的马克思主义学风，紧密结合改革开放和社会主义现代化建设的实际，紧密结合思想和工作实际，努力掌握马克思主义立场、观点、方法，学以致用、用以促学、学用相长，提倡中心组成员结合工作实际撰写学习心得、调研报告或者理论文章，把学习成果转化为有效的政策举措。坚持问题导向，提高运用党的基本理论解决实际问题的能力。</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中心组成员应当发挥“关键少数”的示范和表率作用，自觉学习、带头学习，努力成为建设学习型党组织和学习型领导班子的精心组织者、积极促进者、自觉践行者，带动党员干部大兴学习之风。积极开展中心组成员到基层联系点上党课活动。</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加强对中心组学习主题、内容、授课人的审核把关和课堂现场管理，要重点从政治上进行审核。</w:t>
      </w: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第十二条</w:t>
      </w:r>
      <w:r>
        <w:rPr>
          <w:rFonts w:hint="eastAsia" w:ascii="仿宋_GB2312" w:hAnsi="仿宋" w:eastAsia="仿宋_GB2312"/>
          <w:color w:val="000000"/>
          <w:sz w:val="32"/>
          <w:szCs w:val="32"/>
        </w:rPr>
        <w:t xml:space="preserve"> 中心组学习要做到有据可查，有计划、有通知、有记录、有检查、有报告、有落实。</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要保证集体学习研讨的学习时间和质量，每月不少于1次，每次集中学习时间为1个小时以上。不得以党委会、民主生活会、部署具体工作等形式代替中心组学习。</w:t>
      </w:r>
    </w:p>
    <w:p>
      <w:pPr>
        <w:spacing w:line="54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要保证集体学习研讨的参学率，每次集中学习研讨的参学率要达到2/3 以上。因特殊情况不能参加集体学习研讨的，应事前向党委书记或主持党委日常工作的负责人请假，并以适当方式补学。中心组成员每年集中学习研讨的请假，原则上不得超过当年所学次数(场次) 的1/4。</w:t>
      </w:r>
    </w:p>
    <w:p>
      <w:pPr>
        <w:spacing w:line="540" w:lineRule="exact"/>
        <w:ind w:firstLine="627" w:firstLineChars="200"/>
        <w:rPr>
          <w:rFonts w:hint="eastAsia" w:ascii="仿宋_GB2312" w:hAnsi="仿宋" w:eastAsia="仿宋_GB2312"/>
          <w:color w:val="000000"/>
          <w:spacing w:val="-4"/>
          <w:sz w:val="32"/>
          <w:szCs w:val="32"/>
        </w:rPr>
      </w:pPr>
      <w:r>
        <w:rPr>
          <w:rFonts w:hint="eastAsia" w:ascii="仿宋_GB2312" w:hAnsi="仿宋" w:eastAsia="仿宋_GB2312"/>
          <w:b/>
          <w:color w:val="000000"/>
          <w:spacing w:val="-4"/>
          <w:sz w:val="32"/>
          <w:szCs w:val="32"/>
        </w:rPr>
        <w:t>第十三条</w:t>
      </w:r>
      <w:r>
        <w:rPr>
          <w:rFonts w:hint="eastAsia" w:ascii="仿宋_GB2312" w:hAnsi="仿宋" w:eastAsia="仿宋_GB2312"/>
          <w:color w:val="000000"/>
          <w:spacing w:val="-4"/>
          <w:sz w:val="32"/>
          <w:szCs w:val="32"/>
        </w:rPr>
        <w:t xml:space="preserve"> 中心组学习专项经费应当列入年度财政预算。</w:t>
      </w:r>
    </w:p>
    <w:p>
      <w:pPr>
        <w:spacing w:line="540" w:lineRule="exact"/>
        <w:ind w:firstLine="640" w:firstLineChars="200"/>
        <w:rPr>
          <w:rFonts w:hint="eastAsia" w:ascii="仿宋_GB2312" w:hAnsi="仿宋" w:eastAsia="仿宋_GB2312"/>
          <w:color w:val="000000"/>
          <w:sz w:val="32"/>
          <w:szCs w:val="32"/>
        </w:rPr>
      </w:pPr>
    </w:p>
    <w:p>
      <w:pPr>
        <w:spacing w:line="540" w:lineRule="exact"/>
        <w:jc w:val="center"/>
        <w:rPr>
          <w:rFonts w:hint="eastAsia" w:ascii="宋体" w:hAnsi="宋体"/>
          <w:b/>
          <w:color w:val="000000"/>
          <w:sz w:val="32"/>
          <w:szCs w:val="32"/>
        </w:rPr>
      </w:pPr>
      <w:r>
        <w:rPr>
          <w:rFonts w:hint="eastAsia" w:ascii="宋体" w:hAnsi="宋体"/>
          <w:b/>
          <w:color w:val="000000"/>
          <w:sz w:val="32"/>
          <w:szCs w:val="32"/>
        </w:rPr>
        <w:t>第四章 学习管理、考核</w:t>
      </w:r>
    </w:p>
    <w:p>
      <w:pPr>
        <w:spacing w:line="540" w:lineRule="exact"/>
        <w:ind w:firstLine="643" w:firstLineChars="200"/>
        <w:jc w:val="center"/>
        <w:rPr>
          <w:rFonts w:hint="eastAsia" w:ascii="仿宋_GB2312" w:hAnsi="仿宋" w:eastAsia="仿宋_GB2312"/>
          <w:b/>
          <w:color w:val="000000"/>
          <w:sz w:val="32"/>
          <w:szCs w:val="32"/>
        </w:rPr>
      </w:pP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第十四条</w:t>
      </w:r>
      <w:r>
        <w:rPr>
          <w:rFonts w:hint="eastAsia" w:ascii="仿宋_GB2312" w:hAnsi="仿宋" w:eastAsia="仿宋_GB2312"/>
          <w:color w:val="000000"/>
          <w:sz w:val="32"/>
          <w:szCs w:val="32"/>
        </w:rPr>
        <w:t xml:space="preserve"> 年度中心组学习计划由党委审定后施行，并报送市科协。</w:t>
      </w: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第十五条</w:t>
      </w:r>
      <w:r>
        <w:rPr>
          <w:rFonts w:hint="eastAsia" w:ascii="仿宋_GB2312" w:hAnsi="仿宋" w:eastAsia="仿宋_GB2312"/>
          <w:color w:val="000000"/>
          <w:sz w:val="32"/>
          <w:szCs w:val="32"/>
        </w:rPr>
        <w:t xml:space="preserve"> 中心组每季度、每年或不定期向市科协报送中心组学习或专题学习情况;党委办公室负责向有关部门报送中心组学习或专题学习情况。</w:t>
      </w: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第十六条</w:t>
      </w:r>
      <w:r>
        <w:rPr>
          <w:rFonts w:hint="eastAsia" w:ascii="仿宋_GB2312" w:hAnsi="仿宋" w:eastAsia="仿宋_GB2312"/>
          <w:color w:val="000000"/>
          <w:sz w:val="32"/>
          <w:szCs w:val="32"/>
        </w:rPr>
        <w:t xml:space="preserve"> 每年接受上级部门对学院中心组学习情况的督查考核。督查一般采取自查、抽查或者普查等方式开展。考核一般结合领导班子和领导干部年度考核进行，包括集体考核和个人考核。</w:t>
      </w:r>
    </w:p>
    <w:p>
      <w:pPr>
        <w:spacing w:line="540" w:lineRule="exact"/>
        <w:ind w:firstLine="640" w:firstLineChars="200"/>
        <w:rPr>
          <w:rFonts w:hint="eastAsia" w:ascii="仿宋_GB2312" w:hAnsi="仿宋" w:eastAsia="仿宋_GB2312"/>
          <w:color w:val="000000"/>
          <w:sz w:val="32"/>
          <w:szCs w:val="32"/>
        </w:rPr>
      </w:pPr>
    </w:p>
    <w:p>
      <w:pPr>
        <w:spacing w:line="540" w:lineRule="exact"/>
        <w:jc w:val="center"/>
        <w:rPr>
          <w:rFonts w:hint="eastAsia" w:ascii="宋体" w:hAnsi="宋体"/>
          <w:b/>
          <w:color w:val="000000"/>
          <w:sz w:val="32"/>
          <w:szCs w:val="32"/>
        </w:rPr>
      </w:pPr>
      <w:r>
        <w:rPr>
          <w:rFonts w:hint="eastAsia" w:ascii="宋体" w:hAnsi="宋体"/>
          <w:b/>
          <w:color w:val="000000"/>
          <w:sz w:val="32"/>
          <w:szCs w:val="32"/>
        </w:rPr>
        <w:t>第五章  附 则</w:t>
      </w:r>
    </w:p>
    <w:p>
      <w:pPr>
        <w:spacing w:line="540" w:lineRule="exact"/>
        <w:ind w:firstLine="643" w:firstLineChars="200"/>
        <w:jc w:val="center"/>
        <w:rPr>
          <w:rFonts w:hint="eastAsia" w:ascii="仿宋_GB2312" w:hAnsi="仿宋" w:eastAsia="仿宋_GB2312"/>
          <w:b/>
          <w:color w:val="000000"/>
          <w:sz w:val="32"/>
          <w:szCs w:val="32"/>
        </w:rPr>
      </w:pPr>
    </w:p>
    <w:p>
      <w:pPr>
        <w:spacing w:line="54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第十七条</w:t>
      </w:r>
      <w:r>
        <w:rPr>
          <w:rFonts w:hint="eastAsia" w:ascii="仿宋_GB2312" w:hAnsi="仿宋" w:eastAsia="仿宋_GB2312"/>
          <w:color w:val="000000"/>
          <w:sz w:val="32"/>
          <w:szCs w:val="32"/>
        </w:rPr>
        <w:t xml:space="preserve">  本办法由学院办公室负责解释。</w:t>
      </w:r>
    </w:p>
    <w:p>
      <w:pPr>
        <w:spacing w:line="54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rPr>
        <w:t>第十八条</w:t>
      </w:r>
      <w:r>
        <w:rPr>
          <w:rFonts w:hint="eastAsia" w:ascii="仿宋_GB2312" w:hAnsi="仿宋" w:eastAsia="仿宋_GB2312"/>
          <w:sz w:val="32"/>
          <w:szCs w:val="32"/>
        </w:rPr>
        <w:t xml:space="preserve">  本办法自发布之日起施行。</w:t>
      </w: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20" w:lineRule="exact"/>
        <w:ind w:firstLine="640" w:firstLineChars="200"/>
        <w:rPr>
          <w:rFonts w:hint="eastAsia" w:ascii="仿宋_GB2312" w:hAnsi="仿宋" w:eastAsia="仿宋_GB2312"/>
          <w:sz w:val="32"/>
          <w:szCs w:val="32"/>
        </w:rPr>
      </w:pPr>
    </w:p>
    <w:p>
      <w:pPr>
        <w:spacing w:line="520" w:lineRule="exact"/>
        <w:ind w:firstLine="640" w:firstLineChars="200"/>
        <w:rPr>
          <w:rFonts w:hint="eastAsia" w:ascii="仿宋_GB2312" w:hAnsi="仿宋" w:eastAsia="仿宋_GB2312"/>
          <w:sz w:val="32"/>
          <w:szCs w:val="32"/>
        </w:rPr>
      </w:pPr>
    </w:p>
    <w:p>
      <w:pPr>
        <w:spacing w:line="520" w:lineRule="exact"/>
        <w:ind w:firstLine="640" w:firstLineChars="200"/>
        <w:rPr>
          <w:rFonts w:hint="eastAsia" w:ascii="仿宋_GB2312" w:hAnsi="仿宋" w:eastAsia="仿宋_GB2312"/>
          <w:sz w:val="32"/>
          <w:szCs w:val="32"/>
        </w:rPr>
      </w:pPr>
    </w:p>
    <w:p>
      <w:pPr>
        <w:spacing w:line="520" w:lineRule="exact"/>
        <w:ind w:firstLine="640" w:firstLineChars="200"/>
        <w:rPr>
          <w:rFonts w:hint="eastAsia" w:ascii="仿宋_GB2312" w:hAnsi="仿宋" w:eastAsia="仿宋_GB2312"/>
          <w:sz w:val="32"/>
          <w:szCs w:val="32"/>
        </w:rPr>
      </w:pPr>
    </w:p>
    <w:p>
      <w:pPr>
        <w:spacing w:line="520" w:lineRule="exact"/>
        <w:ind w:firstLine="640" w:firstLineChars="200"/>
        <w:rPr>
          <w:rFonts w:hint="eastAsia" w:ascii="仿宋_GB2312" w:hAnsi="仿宋" w:eastAsia="仿宋_GB2312"/>
          <w:sz w:val="32"/>
          <w:szCs w:val="32"/>
        </w:rPr>
      </w:pPr>
    </w:p>
    <w:p>
      <w:pPr>
        <w:spacing w:line="520" w:lineRule="exact"/>
        <w:ind w:firstLine="640" w:firstLineChars="200"/>
        <w:rPr>
          <w:rFonts w:hint="eastAsia" w:ascii="仿宋_GB2312" w:hAnsi="仿宋" w:eastAsia="仿宋_GB2312"/>
          <w:sz w:val="32"/>
          <w:szCs w:val="32"/>
        </w:rPr>
      </w:pPr>
    </w:p>
    <w:p>
      <w:pPr>
        <w:spacing w:line="520" w:lineRule="exact"/>
        <w:ind w:firstLine="640" w:firstLineChars="200"/>
        <w:rPr>
          <w:rFonts w:hint="eastAsia" w:ascii="仿宋_GB2312" w:hAnsi="仿宋" w:eastAsia="仿宋_GB2312"/>
          <w:sz w:val="32"/>
          <w:szCs w:val="32"/>
        </w:rPr>
      </w:pPr>
    </w:p>
    <w:p>
      <w:pPr>
        <w:spacing w:line="540" w:lineRule="exact"/>
        <w:ind w:firstLine="640" w:firstLineChars="200"/>
        <w:rPr>
          <w:rFonts w:hint="eastAsia" w:ascii="仿宋_GB2312" w:hAnsi="仿宋" w:eastAsia="仿宋_GB2312"/>
          <w:sz w:val="32"/>
          <w:szCs w:val="32"/>
        </w:rPr>
      </w:pPr>
    </w:p>
    <w:p>
      <w:pPr>
        <w:spacing w:line="560" w:lineRule="exact"/>
        <w:rPr>
          <w:rFonts w:hint="eastAsia" w:ascii="仿宋_GB2312" w:eastAsia="仿宋_GB2312"/>
          <w:w w:val="90"/>
          <w:sz w:val="32"/>
          <w:szCs w:val="32"/>
          <w:u w:val="single"/>
        </w:rPr>
      </w:pPr>
      <w:r>
        <w:rPr>
          <w:rFonts w:hint="eastAsia" w:ascii="仿宋_GB2312" w:eastAsia="仿宋_GB2312"/>
          <w:w w:val="90"/>
          <w:sz w:val="32"/>
          <w:szCs w:val="32"/>
          <w:u w:val="single"/>
        </w:rPr>
        <w:t xml:space="preserve">                                                         </w:t>
      </w:r>
    </w:p>
    <w:p>
      <w:pPr>
        <w:spacing w:line="560" w:lineRule="exact"/>
        <w:rPr>
          <w:rFonts w:hint="eastAsia" w:ascii="仿宋_GB2312" w:hAnsi="宋体" w:eastAsia="仿宋_GB2312"/>
          <w:sz w:val="32"/>
          <w:szCs w:val="32"/>
        </w:rPr>
      </w:pPr>
      <w:r>
        <w:rPr>
          <w:rFonts w:hint="eastAsia" w:ascii="仿宋_GB2312" w:eastAsia="仿宋_GB2312"/>
          <w:w w:val="90"/>
          <w:sz w:val="32"/>
          <w:szCs w:val="32"/>
          <w:u w:val="single"/>
        </w:rPr>
        <w:t xml:space="preserve">  广州科技贸易职业学院党委办公室       2018年5月22日印发   </w:t>
      </w:r>
    </w:p>
    <w:sectPr>
      <w:footerReference r:id="rId5" w:type="default"/>
      <w:footerReference r:id="rId6" w:type="even"/>
      <w:pgSz w:w="11906" w:h="16838"/>
      <w:pgMar w:top="1440" w:right="1797" w:bottom="1440" w:left="1797"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287" w:usb1="080F0000" w:usb2="00000010" w:usb3="00000000" w:csb0="0004009F" w:csb1="00000000"/>
  </w:font>
  <w:font w:name="Arial">
    <w:panose1 w:val="020B0604020202020204"/>
    <w:charset w:val="00"/>
    <w:family w:val="swiss"/>
    <w:pitch w:val="default"/>
    <w:sig w:usb0="E0002EFF" w:usb1="C000785B" w:usb2="00000009" w:usb3="00000000" w:csb0="400001FF" w:csb1="FFFF0000"/>
  </w:font>
  <w:font w:name="方正仿宋简体">
    <w:altName w:val="微软雅黑"/>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Fonts w:hint="eastAsia" w:ascii="仿宋_GB2312" w:eastAsia="仿宋_GB2312"/>
        <w:sz w:val="28"/>
        <w:szCs w:val="28"/>
      </w:rPr>
    </w:pPr>
    <w:r>
      <w:rPr>
        <w:rStyle w:val="15"/>
        <w:rFonts w:hint="eastAsia" w:ascii="仿宋_GB2312" w:eastAsia="仿宋_GB2312"/>
        <w:sz w:val="28"/>
        <w:szCs w:val="28"/>
      </w:rPr>
      <w:fldChar w:fldCharType="begin"/>
    </w:r>
    <w:r>
      <w:rPr>
        <w:rStyle w:val="15"/>
        <w:rFonts w:hint="eastAsia" w:ascii="仿宋_GB2312" w:eastAsia="仿宋_GB2312"/>
        <w:sz w:val="28"/>
        <w:szCs w:val="28"/>
      </w:rPr>
      <w:instrText xml:space="preserve">PAGE  </w:instrText>
    </w:r>
    <w:r>
      <w:rPr>
        <w:rStyle w:val="15"/>
        <w:rFonts w:hint="eastAsia" w:ascii="仿宋_GB2312" w:eastAsia="仿宋_GB2312"/>
        <w:sz w:val="28"/>
        <w:szCs w:val="28"/>
      </w:rPr>
      <w:fldChar w:fldCharType="separate"/>
    </w:r>
    <w:r>
      <w:rPr>
        <w:rStyle w:val="15"/>
        <w:rFonts w:ascii="仿宋_GB2312" w:eastAsia="仿宋_GB2312"/>
        <w:sz w:val="28"/>
        <w:szCs w:val="28"/>
        <w:lang/>
      </w:rPr>
      <w:t>- 1 -</w:t>
    </w:r>
    <w:r>
      <w:rPr>
        <w:rStyle w:val="15"/>
        <w:rFonts w:hint="eastAsia" w:ascii="仿宋_GB2312" w:eastAsia="仿宋_GB2312"/>
        <w:sz w:val="28"/>
        <w:szCs w:val="28"/>
      </w:rPr>
      <w:fldChar w:fldCharType="end"/>
    </w:r>
  </w:p>
  <w:p>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Pr>
    </w:pPr>
    <w:r>
      <w:rPr>
        <w:rStyle w:val="15"/>
      </w:rPr>
      <w:fldChar w:fldCharType="begin"/>
    </w:r>
    <w:r>
      <w:rPr>
        <w:rStyle w:val="15"/>
      </w:rPr>
      <w:instrText xml:space="preserve">PAGE  </w:instrText>
    </w:r>
    <w:r>
      <w:rPr>
        <w:rStyle w:val="15"/>
      </w:rPr>
      <w:fldChar w:fldCharType="end"/>
    </w:r>
  </w:p>
  <w:p>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Fonts w:hint="eastAsia" w:ascii="仿宋_GB2312" w:eastAsia="仿宋_GB2312"/>
        <w:sz w:val="28"/>
        <w:szCs w:val="28"/>
      </w:rPr>
    </w:pPr>
    <w:r>
      <w:rPr>
        <w:rStyle w:val="15"/>
        <w:rFonts w:hint="eastAsia" w:ascii="仿宋_GB2312" w:eastAsia="仿宋_GB2312"/>
        <w:sz w:val="28"/>
        <w:szCs w:val="28"/>
      </w:rPr>
      <w:fldChar w:fldCharType="begin"/>
    </w:r>
    <w:r>
      <w:rPr>
        <w:rStyle w:val="15"/>
        <w:rFonts w:hint="eastAsia" w:ascii="仿宋_GB2312" w:eastAsia="仿宋_GB2312"/>
        <w:sz w:val="28"/>
        <w:szCs w:val="28"/>
      </w:rPr>
      <w:instrText xml:space="preserve">PAGE  </w:instrText>
    </w:r>
    <w:r>
      <w:rPr>
        <w:rStyle w:val="15"/>
        <w:rFonts w:hint="eastAsia" w:ascii="仿宋_GB2312" w:eastAsia="仿宋_GB2312"/>
        <w:sz w:val="28"/>
        <w:szCs w:val="28"/>
      </w:rPr>
      <w:fldChar w:fldCharType="separate"/>
    </w:r>
    <w:r>
      <w:rPr>
        <w:rStyle w:val="15"/>
        <w:rFonts w:ascii="仿宋_GB2312" w:eastAsia="仿宋_GB2312"/>
        <w:sz w:val="28"/>
        <w:szCs w:val="28"/>
        <w:lang/>
      </w:rPr>
      <w:t>- 8 -</w:t>
    </w:r>
    <w:r>
      <w:rPr>
        <w:rStyle w:val="15"/>
        <w:rFonts w:hint="eastAsia" w:ascii="仿宋_GB2312" w:eastAsia="仿宋_GB2312"/>
        <w:sz w:val="28"/>
        <w:szCs w:val="28"/>
      </w:rPr>
      <w:fldChar w:fldCharType="end"/>
    </w:r>
  </w:p>
  <w:p>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Pr>
    </w:pPr>
    <w:r>
      <w:rPr>
        <w:rStyle w:val="15"/>
      </w:rPr>
      <w:fldChar w:fldCharType="begin"/>
    </w:r>
    <w:r>
      <w:rPr>
        <w:rStyle w:val="15"/>
      </w:rPr>
      <w:instrText xml:space="preserve">PAGE  </w:instrText>
    </w:r>
    <w:r>
      <w:rPr>
        <w:rStyle w:val="15"/>
      </w:rPr>
      <w:fldChar w:fldCharType="end"/>
    </w:r>
  </w:p>
  <w:p>
    <w:pPr>
      <w:pStyle w:val="9"/>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591"/>
    <w:rsid w:val="00007883"/>
    <w:rsid w:val="00013D43"/>
    <w:rsid w:val="00013D6B"/>
    <w:rsid w:val="00020209"/>
    <w:rsid w:val="00021D75"/>
    <w:rsid w:val="00042387"/>
    <w:rsid w:val="00042B75"/>
    <w:rsid w:val="00050D74"/>
    <w:rsid w:val="00063267"/>
    <w:rsid w:val="0006334D"/>
    <w:rsid w:val="000648C2"/>
    <w:rsid w:val="00065A62"/>
    <w:rsid w:val="000755C7"/>
    <w:rsid w:val="000831E4"/>
    <w:rsid w:val="000B0FE5"/>
    <w:rsid w:val="000C06A8"/>
    <w:rsid w:val="000C4AF0"/>
    <w:rsid w:val="000C6945"/>
    <w:rsid w:val="000D0182"/>
    <w:rsid w:val="000E6ED2"/>
    <w:rsid w:val="000F3E2A"/>
    <w:rsid w:val="000F7495"/>
    <w:rsid w:val="00100C51"/>
    <w:rsid w:val="001076D7"/>
    <w:rsid w:val="00121451"/>
    <w:rsid w:val="0012206C"/>
    <w:rsid w:val="00123AC0"/>
    <w:rsid w:val="00125251"/>
    <w:rsid w:val="001333A6"/>
    <w:rsid w:val="00155283"/>
    <w:rsid w:val="00157033"/>
    <w:rsid w:val="00163E75"/>
    <w:rsid w:val="00166520"/>
    <w:rsid w:val="001714C1"/>
    <w:rsid w:val="00177188"/>
    <w:rsid w:val="001924A2"/>
    <w:rsid w:val="001954EA"/>
    <w:rsid w:val="001B09CF"/>
    <w:rsid w:val="001B694A"/>
    <w:rsid w:val="001D74D4"/>
    <w:rsid w:val="001E19B6"/>
    <w:rsid w:val="001F3EBB"/>
    <w:rsid w:val="001F5EE2"/>
    <w:rsid w:val="00216FA0"/>
    <w:rsid w:val="00223641"/>
    <w:rsid w:val="00223FEF"/>
    <w:rsid w:val="002249DC"/>
    <w:rsid w:val="00225C60"/>
    <w:rsid w:val="00226DFE"/>
    <w:rsid w:val="002327EA"/>
    <w:rsid w:val="002411DF"/>
    <w:rsid w:val="00255145"/>
    <w:rsid w:val="00262658"/>
    <w:rsid w:val="00263CDD"/>
    <w:rsid w:val="00264669"/>
    <w:rsid w:val="00272B97"/>
    <w:rsid w:val="002817EC"/>
    <w:rsid w:val="0028541E"/>
    <w:rsid w:val="00287B10"/>
    <w:rsid w:val="00292484"/>
    <w:rsid w:val="002929FC"/>
    <w:rsid w:val="002A3944"/>
    <w:rsid w:val="002B5847"/>
    <w:rsid w:val="002B7103"/>
    <w:rsid w:val="002C230A"/>
    <w:rsid w:val="002E60BD"/>
    <w:rsid w:val="002E7CCC"/>
    <w:rsid w:val="002F1FD8"/>
    <w:rsid w:val="003004D7"/>
    <w:rsid w:val="00301F20"/>
    <w:rsid w:val="003036AE"/>
    <w:rsid w:val="00315770"/>
    <w:rsid w:val="00316048"/>
    <w:rsid w:val="0031729B"/>
    <w:rsid w:val="00325C06"/>
    <w:rsid w:val="003264A9"/>
    <w:rsid w:val="003347F0"/>
    <w:rsid w:val="0033668D"/>
    <w:rsid w:val="00341060"/>
    <w:rsid w:val="00341B6D"/>
    <w:rsid w:val="00352661"/>
    <w:rsid w:val="00354978"/>
    <w:rsid w:val="003549A4"/>
    <w:rsid w:val="00362083"/>
    <w:rsid w:val="00366FF1"/>
    <w:rsid w:val="003900F6"/>
    <w:rsid w:val="00397F21"/>
    <w:rsid w:val="003B527E"/>
    <w:rsid w:val="003C36E6"/>
    <w:rsid w:val="003D16CC"/>
    <w:rsid w:val="003D2DA3"/>
    <w:rsid w:val="003D66D5"/>
    <w:rsid w:val="003D6E8B"/>
    <w:rsid w:val="003E4473"/>
    <w:rsid w:val="003E7CFA"/>
    <w:rsid w:val="003F4745"/>
    <w:rsid w:val="0040145F"/>
    <w:rsid w:val="004034B5"/>
    <w:rsid w:val="00406217"/>
    <w:rsid w:val="00417345"/>
    <w:rsid w:val="004251E7"/>
    <w:rsid w:val="00427CB7"/>
    <w:rsid w:val="004343F8"/>
    <w:rsid w:val="00434761"/>
    <w:rsid w:val="00436704"/>
    <w:rsid w:val="004504DE"/>
    <w:rsid w:val="00453396"/>
    <w:rsid w:val="00466FAD"/>
    <w:rsid w:val="0048181A"/>
    <w:rsid w:val="00482C2C"/>
    <w:rsid w:val="00487773"/>
    <w:rsid w:val="00487D2F"/>
    <w:rsid w:val="004955A8"/>
    <w:rsid w:val="004A38F6"/>
    <w:rsid w:val="004A77BD"/>
    <w:rsid w:val="004B0186"/>
    <w:rsid w:val="004C0127"/>
    <w:rsid w:val="004C0839"/>
    <w:rsid w:val="004C1E82"/>
    <w:rsid w:val="004C2290"/>
    <w:rsid w:val="004C5A00"/>
    <w:rsid w:val="004E3FFA"/>
    <w:rsid w:val="004E54C3"/>
    <w:rsid w:val="004F5DDC"/>
    <w:rsid w:val="00507F50"/>
    <w:rsid w:val="00507FE6"/>
    <w:rsid w:val="00521EB8"/>
    <w:rsid w:val="00532596"/>
    <w:rsid w:val="00555287"/>
    <w:rsid w:val="0056292A"/>
    <w:rsid w:val="00565B1E"/>
    <w:rsid w:val="005763DF"/>
    <w:rsid w:val="00580FDF"/>
    <w:rsid w:val="00586826"/>
    <w:rsid w:val="00590DAD"/>
    <w:rsid w:val="0059608B"/>
    <w:rsid w:val="00597147"/>
    <w:rsid w:val="0059737E"/>
    <w:rsid w:val="005A1279"/>
    <w:rsid w:val="005A4127"/>
    <w:rsid w:val="005B7D16"/>
    <w:rsid w:val="005E295F"/>
    <w:rsid w:val="005E5DE5"/>
    <w:rsid w:val="005F4677"/>
    <w:rsid w:val="00607851"/>
    <w:rsid w:val="00620580"/>
    <w:rsid w:val="0062760E"/>
    <w:rsid w:val="006343F8"/>
    <w:rsid w:val="006366D3"/>
    <w:rsid w:val="00640E71"/>
    <w:rsid w:val="0064124F"/>
    <w:rsid w:val="00646C1C"/>
    <w:rsid w:val="00647F33"/>
    <w:rsid w:val="00653163"/>
    <w:rsid w:val="00671C46"/>
    <w:rsid w:val="0068162F"/>
    <w:rsid w:val="00685443"/>
    <w:rsid w:val="0069458B"/>
    <w:rsid w:val="006A11C8"/>
    <w:rsid w:val="006C4051"/>
    <w:rsid w:val="006C42E2"/>
    <w:rsid w:val="006D16C2"/>
    <w:rsid w:val="006D1735"/>
    <w:rsid w:val="006D7F00"/>
    <w:rsid w:val="00715ACE"/>
    <w:rsid w:val="007217CC"/>
    <w:rsid w:val="007515CC"/>
    <w:rsid w:val="00753DC4"/>
    <w:rsid w:val="00757D04"/>
    <w:rsid w:val="0076136E"/>
    <w:rsid w:val="00765D70"/>
    <w:rsid w:val="00765ED8"/>
    <w:rsid w:val="007826F4"/>
    <w:rsid w:val="00783450"/>
    <w:rsid w:val="007965BC"/>
    <w:rsid w:val="007A00F3"/>
    <w:rsid w:val="007A2B3C"/>
    <w:rsid w:val="007C0C13"/>
    <w:rsid w:val="007C1471"/>
    <w:rsid w:val="007C18B9"/>
    <w:rsid w:val="007E4DA5"/>
    <w:rsid w:val="007F1A75"/>
    <w:rsid w:val="007F1ACB"/>
    <w:rsid w:val="007F5BDC"/>
    <w:rsid w:val="007F5CEE"/>
    <w:rsid w:val="008008AA"/>
    <w:rsid w:val="00803E63"/>
    <w:rsid w:val="008132F4"/>
    <w:rsid w:val="0083016A"/>
    <w:rsid w:val="00836036"/>
    <w:rsid w:val="00860BF5"/>
    <w:rsid w:val="0086429E"/>
    <w:rsid w:val="008704AB"/>
    <w:rsid w:val="00872BE1"/>
    <w:rsid w:val="008836F1"/>
    <w:rsid w:val="008863B4"/>
    <w:rsid w:val="0089031C"/>
    <w:rsid w:val="00894A10"/>
    <w:rsid w:val="008B3864"/>
    <w:rsid w:val="008B502B"/>
    <w:rsid w:val="008B5588"/>
    <w:rsid w:val="008B5BDA"/>
    <w:rsid w:val="008B7570"/>
    <w:rsid w:val="008B75D0"/>
    <w:rsid w:val="008C67A8"/>
    <w:rsid w:val="008F0838"/>
    <w:rsid w:val="008F3266"/>
    <w:rsid w:val="008F3E40"/>
    <w:rsid w:val="00903308"/>
    <w:rsid w:val="00907944"/>
    <w:rsid w:val="00914B89"/>
    <w:rsid w:val="00922263"/>
    <w:rsid w:val="0092409D"/>
    <w:rsid w:val="00925E41"/>
    <w:rsid w:val="00926126"/>
    <w:rsid w:val="00926513"/>
    <w:rsid w:val="009316AF"/>
    <w:rsid w:val="00932FB1"/>
    <w:rsid w:val="00943426"/>
    <w:rsid w:val="00947202"/>
    <w:rsid w:val="00950385"/>
    <w:rsid w:val="00983D5A"/>
    <w:rsid w:val="00990A4A"/>
    <w:rsid w:val="00994072"/>
    <w:rsid w:val="00995909"/>
    <w:rsid w:val="009A3974"/>
    <w:rsid w:val="009A742F"/>
    <w:rsid w:val="009B0349"/>
    <w:rsid w:val="009B6909"/>
    <w:rsid w:val="009C099C"/>
    <w:rsid w:val="009C51FD"/>
    <w:rsid w:val="009C768C"/>
    <w:rsid w:val="009E759F"/>
    <w:rsid w:val="00A046C7"/>
    <w:rsid w:val="00A06C41"/>
    <w:rsid w:val="00A12889"/>
    <w:rsid w:val="00A2065A"/>
    <w:rsid w:val="00A25991"/>
    <w:rsid w:val="00A36E4B"/>
    <w:rsid w:val="00A40596"/>
    <w:rsid w:val="00A405BE"/>
    <w:rsid w:val="00A4329B"/>
    <w:rsid w:val="00A54F34"/>
    <w:rsid w:val="00A62750"/>
    <w:rsid w:val="00A76132"/>
    <w:rsid w:val="00A81226"/>
    <w:rsid w:val="00A853EC"/>
    <w:rsid w:val="00A909E7"/>
    <w:rsid w:val="00A917E7"/>
    <w:rsid w:val="00A929DA"/>
    <w:rsid w:val="00A92AAC"/>
    <w:rsid w:val="00A94D6A"/>
    <w:rsid w:val="00AC111F"/>
    <w:rsid w:val="00AC51A2"/>
    <w:rsid w:val="00AC580D"/>
    <w:rsid w:val="00AE0E5C"/>
    <w:rsid w:val="00AE77C7"/>
    <w:rsid w:val="00AF1FE3"/>
    <w:rsid w:val="00B07EB5"/>
    <w:rsid w:val="00B11E29"/>
    <w:rsid w:val="00B24412"/>
    <w:rsid w:val="00B403D2"/>
    <w:rsid w:val="00B435E6"/>
    <w:rsid w:val="00B45F6D"/>
    <w:rsid w:val="00B50EC5"/>
    <w:rsid w:val="00B60DCE"/>
    <w:rsid w:val="00B64532"/>
    <w:rsid w:val="00B64C27"/>
    <w:rsid w:val="00B64D01"/>
    <w:rsid w:val="00B665B2"/>
    <w:rsid w:val="00B72721"/>
    <w:rsid w:val="00B87408"/>
    <w:rsid w:val="00B91268"/>
    <w:rsid w:val="00B95D9A"/>
    <w:rsid w:val="00BA1945"/>
    <w:rsid w:val="00BB0A8D"/>
    <w:rsid w:val="00BB54BA"/>
    <w:rsid w:val="00BB64D0"/>
    <w:rsid w:val="00BC7064"/>
    <w:rsid w:val="00BE2591"/>
    <w:rsid w:val="00BE2CBC"/>
    <w:rsid w:val="00BE45BD"/>
    <w:rsid w:val="00BF1325"/>
    <w:rsid w:val="00BF4696"/>
    <w:rsid w:val="00BF6CAD"/>
    <w:rsid w:val="00C2306C"/>
    <w:rsid w:val="00C26592"/>
    <w:rsid w:val="00C314CF"/>
    <w:rsid w:val="00C4197F"/>
    <w:rsid w:val="00C53870"/>
    <w:rsid w:val="00C54988"/>
    <w:rsid w:val="00C576F6"/>
    <w:rsid w:val="00C64872"/>
    <w:rsid w:val="00C669CC"/>
    <w:rsid w:val="00C67F48"/>
    <w:rsid w:val="00C71C4C"/>
    <w:rsid w:val="00C72854"/>
    <w:rsid w:val="00C928DD"/>
    <w:rsid w:val="00C93FC1"/>
    <w:rsid w:val="00CC191A"/>
    <w:rsid w:val="00CD0443"/>
    <w:rsid w:val="00CE6010"/>
    <w:rsid w:val="00CE7248"/>
    <w:rsid w:val="00CF3AD6"/>
    <w:rsid w:val="00D071E5"/>
    <w:rsid w:val="00D07257"/>
    <w:rsid w:val="00D22BA5"/>
    <w:rsid w:val="00D233B7"/>
    <w:rsid w:val="00D44B81"/>
    <w:rsid w:val="00D453CD"/>
    <w:rsid w:val="00D54D1B"/>
    <w:rsid w:val="00D54F06"/>
    <w:rsid w:val="00D56CAC"/>
    <w:rsid w:val="00D65259"/>
    <w:rsid w:val="00D679A5"/>
    <w:rsid w:val="00D705DD"/>
    <w:rsid w:val="00D72BF7"/>
    <w:rsid w:val="00D738DE"/>
    <w:rsid w:val="00D75674"/>
    <w:rsid w:val="00D91A06"/>
    <w:rsid w:val="00DA1564"/>
    <w:rsid w:val="00DA73B5"/>
    <w:rsid w:val="00DB4FC6"/>
    <w:rsid w:val="00DB5C25"/>
    <w:rsid w:val="00DC3065"/>
    <w:rsid w:val="00DC5A98"/>
    <w:rsid w:val="00DD075A"/>
    <w:rsid w:val="00DD3999"/>
    <w:rsid w:val="00DD6689"/>
    <w:rsid w:val="00DE1363"/>
    <w:rsid w:val="00DF59CB"/>
    <w:rsid w:val="00DF67E4"/>
    <w:rsid w:val="00E23080"/>
    <w:rsid w:val="00E302A3"/>
    <w:rsid w:val="00E3056D"/>
    <w:rsid w:val="00E51B18"/>
    <w:rsid w:val="00E53481"/>
    <w:rsid w:val="00E57D5F"/>
    <w:rsid w:val="00E614D7"/>
    <w:rsid w:val="00E66EF3"/>
    <w:rsid w:val="00E96FC3"/>
    <w:rsid w:val="00EA78B4"/>
    <w:rsid w:val="00EB3122"/>
    <w:rsid w:val="00EC0BBE"/>
    <w:rsid w:val="00EC26AC"/>
    <w:rsid w:val="00EC498E"/>
    <w:rsid w:val="00EC518F"/>
    <w:rsid w:val="00ED4C81"/>
    <w:rsid w:val="00F03FC6"/>
    <w:rsid w:val="00F06DB3"/>
    <w:rsid w:val="00F12932"/>
    <w:rsid w:val="00F1629C"/>
    <w:rsid w:val="00F32DA5"/>
    <w:rsid w:val="00F515C5"/>
    <w:rsid w:val="00F53AEF"/>
    <w:rsid w:val="00F71101"/>
    <w:rsid w:val="00F812D5"/>
    <w:rsid w:val="00F94F5B"/>
    <w:rsid w:val="00FA238D"/>
    <w:rsid w:val="00FA7D56"/>
    <w:rsid w:val="00FB1033"/>
    <w:rsid w:val="00FB35CF"/>
    <w:rsid w:val="00FC1DF2"/>
    <w:rsid w:val="00FC1DFF"/>
    <w:rsid w:val="00FC3296"/>
    <w:rsid w:val="00FD32E1"/>
    <w:rsid w:val="50565451"/>
    <w:rsid w:val="72723C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line="360" w:lineRule="auto"/>
      <w:ind w:firstLine="562" w:firstLineChars="200"/>
      <w:outlineLvl w:val="1"/>
    </w:pPr>
    <w:rPr>
      <w:rFonts w:ascii="宋体" w:hAnsi="宋体" w:cs="宋体"/>
      <w:b/>
      <w:bCs/>
      <w:kern w:val="0"/>
      <w:sz w:val="28"/>
      <w:szCs w:val="28"/>
    </w:rPr>
  </w:style>
  <w:style w:type="paragraph" w:styleId="4">
    <w:name w:val="heading 3"/>
    <w:basedOn w:val="1"/>
    <w:next w:val="1"/>
    <w:link w:val="25"/>
    <w:semiHidden/>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uiPriority w:val="0"/>
  </w:style>
  <w:style w:type="table" w:default="1" w:styleId="12">
    <w:name w:val="Normal Table"/>
    <w:semiHidden/>
    <w:uiPriority w:val="0"/>
    <w:tblPr>
      <w:tblStyle w:val="12"/>
      <w:tblCellMar>
        <w:top w:w="0" w:type="dxa"/>
        <w:left w:w="108" w:type="dxa"/>
        <w:bottom w:w="0" w:type="dxa"/>
        <w:right w:w="108" w:type="dxa"/>
      </w:tblCellMar>
    </w:tblPr>
    <w:trPr>
      <w:wBefore w:w="0" w:type="dxa"/>
    </w:trPr>
  </w:style>
  <w:style w:type="paragraph" w:styleId="5">
    <w:name w:val="annotation text"/>
    <w:basedOn w:val="1"/>
    <w:semiHidden/>
    <w:uiPriority w:val="0"/>
    <w:pPr>
      <w:jc w:val="left"/>
    </w:pPr>
  </w:style>
  <w:style w:type="paragraph" w:styleId="6">
    <w:name w:val="Plain Text"/>
    <w:basedOn w:val="1"/>
    <w:uiPriority w:val="0"/>
    <w:rPr>
      <w:rFonts w:ascii="宋体" w:hAnsi="Courier New"/>
      <w:szCs w:val="20"/>
    </w:rPr>
  </w:style>
  <w:style w:type="paragraph" w:styleId="7">
    <w:name w:val="Date"/>
    <w:basedOn w:val="1"/>
    <w:next w:val="1"/>
    <w:uiPriority w:val="0"/>
    <w:pPr>
      <w:ind w:left="100" w:leftChars="2500"/>
    </w:pPr>
  </w:style>
  <w:style w:type="paragraph" w:styleId="8">
    <w:name w:val="Balloon Text"/>
    <w:basedOn w:val="1"/>
    <w:semiHidden/>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0"/>
    <w:pPr>
      <w:widowControl/>
      <w:spacing w:line="300" w:lineRule="atLeast"/>
      <w:jc w:val="left"/>
    </w:pPr>
    <w:rPr>
      <w:rFonts w:ascii="宋体" w:hAnsi="宋体" w:cs="宋体"/>
      <w:kern w:val="0"/>
      <w:sz w:val="24"/>
    </w:rPr>
  </w:style>
  <w:style w:type="character" w:styleId="14">
    <w:name w:val="Strong"/>
    <w:qFormat/>
    <w:uiPriority w:val="0"/>
    <w:rPr>
      <w:b/>
      <w:bCs/>
    </w:rPr>
  </w:style>
  <w:style w:type="character" w:styleId="15">
    <w:name w:val="page number"/>
    <w:basedOn w:val="13"/>
    <w:uiPriority w:val="0"/>
  </w:style>
  <w:style w:type="character" w:styleId="16">
    <w:name w:val="Hyperlink"/>
    <w:unhideWhenUsed/>
    <w:qFormat/>
    <w:uiPriority w:val="99"/>
    <w:rPr>
      <w:color w:val="000000"/>
      <w:u w:val="none"/>
    </w:rPr>
  </w:style>
  <w:style w:type="paragraph" w:customStyle="1" w:styleId="17">
    <w:name w:val="Char Char1 Char Char Char Char Char Char Char Char"/>
    <w:basedOn w:val="1"/>
    <w:uiPriority w:val="0"/>
    <w:pPr>
      <w:widowControl/>
      <w:spacing w:after="160" w:line="240" w:lineRule="exact"/>
      <w:jc w:val="left"/>
    </w:pPr>
    <w:rPr>
      <w:rFonts w:ascii="Verdana" w:hAnsi="Verdana"/>
      <w:kern w:val="0"/>
      <w:sz w:val="18"/>
      <w:szCs w:val="20"/>
      <w:lang w:eastAsia="en-US"/>
    </w:rPr>
  </w:style>
  <w:style w:type="paragraph" w:styleId="18">
    <w:name w:val="List Paragraph"/>
    <w:basedOn w:val="1"/>
    <w:qFormat/>
    <w:uiPriority w:val="0"/>
    <w:pPr>
      <w:ind w:firstLine="420" w:firstLineChars="200"/>
    </w:pPr>
  </w:style>
  <w:style w:type="paragraph" w:customStyle="1" w:styleId="19">
    <w:name w:val="Char"/>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20">
    <w:name w:val="正文123"/>
    <w:basedOn w:val="1"/>
    <w:uiPriority w:val="0"/>
    <w:pPr>
      <w:spacing w:line="480" w:lineRule="exact"/>
      <w:ind w:firstLine="200" w:firstLineChars="200"/>
      <w:jc w:val="left"/>
    </w:pPr>
    <w:rPr>
      <w:rFonts w:ascii="方正小标宋简体" w:hAnsi="华文中宋" w:eastAsia="仿宋_GB2312"/>
      <w:sz w:val="28"/>
    </w:rPr>
  </w:style>
  <w:style w:type="paragraph" w:customStyle="1" w:styleId="21">
    <w:name w:val=" Char Char1"/>
    <w:basedOn w:val="1"/>
    <w:uiPriority w:val="0"/>
    <w:pPr>
      <w:widowControl/>
      <w:spacing w:after="160" w:line="240" w:lineRule="exact"/>
      <w:jc w:val="left"/>
    </w:pPr>
    <w:rPr>
      <w:rFonts w:ascii="Arial" w:hAnsi="Arial" w:cs="Arial"/>
      <w:b/>
      <w:bCs/>
      <w:kern w:val="0"/>
      <w:sz w:val="24"/>
      <w:lang w:eastAsia="en-US"/>
    </w:rPr>
  </w:style>
  <w:style w:type="paragraph" w:customStyle="1" w:styleId="22">
    <w:name w:val="列出段落1"/>
    <w:basedOn w:val="1"/>
    <w:qFormat/>
    <w:uiPriority w:val="99"/>
    <w:pPr>
      <w:ind w:firstLine="420" w:firstLineChars="200"/>
    </w:pPr>
    <w:rPr>
      <w:rFonts w:ascii="Calibri" w:hAnsi="Calibri" w:cs="Calibri"/>
      <w:szCs w:val="21"/>
    </w:rPr>
  </w:style>
  <w:style w:type="paragraph" w:customStyle="1" w:styleId="23">
    <w:name w:val="无间隔1"/>
    <w:qFormat/>
    <w:uiPriority w:val="1"/>
    <w:pPr>
      <w:widowControl w:val="0"/>
      <w:jc w:val="both"/>
    </w:pPr>
    <w:rPr>
      <w:rFonts w:eastAsia="方正仿宋简体"/>
      <w:kern w:val="2"/>
      <w:sz w:val="32"/>
      <w:lang w:val="en-US" w:eastAsia="zh-CN" w:bidi="ar-SA"/>
    </w:rPr>
  </w:style>
  <w:style w:type="character" w:customStyle="1" w:styleId="24">
    <w:name w:val="f141"/>
    <w:uiPriority w:val="0"/>
    <w:rPr>
      <w:rFonts w:hint="default" w:ascii="ˎ̥" w:hAnsi="ˎ̥"/>
      <w:color w:val="000000"/>
      <w:sz w:val="21"/>
      <w:szCs w:val="21"/>
    </w:rPr>
  </w:style>
  <w:style w:type="character" w:customStyle="1" w:styleId="25">
    <w:name w:val="标题 3 Char"/>
    <w:link w:val="4"/>
    <w:semiHidden/>
    <w:uiPriority w:val="0"/>
    <w:rPr>
      <w:b/>
      <w:bCs/>
      <w:kern w:val="2"/>
      <w:sz w:val="32"/>
      <w:szCs w:val="32"/>
    </w:rPr>
  </w:style>
  <w:style w:type="character" w:customStyle="1" w:styleId="26">
    <w:name w:val="标题 1 Char"/>
    <w:link w:val="2"/>
    <w:uiPriority w:val="0"/>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489</Words>
  <Characters>2788</Characters>
  <Lines>23</Lines>
  <Paragraphs>6</Paragraphs>
  <TotalTime>0</TotalTime>
  <ScaleCrop>false</ScaleCrop>
  <LinksUpToDate>false</LinksUpToDate>
  <CharactersWithSpaces>3271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2015-03-10T08:14:00Z</dcterms:created>
  <dc:creator>User</dc:creator>
  <cp:lastModifiedBy>Shanyeqi</cp:lastModifiedBy>
  <cp:lastPrinted>2018-04-09T09:27:00Z</cp:lastPrinted>
  <dcterms:modified xsi:type="dcterms:W3CDTF">2021-07-13T01:41:44Z</dcterms:modified>
  <dc:title>广州科技贸易职业学院</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